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ind w:leftChars="0"/>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重庆市司法局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关于印发《重庆市司法鉴定机构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和司法鉴定人执业评价办法（试行）》的通知</w:t>
      </w:r>
    </w:p>
    <w:p>
      <w:pPr>
        <w:pageBreakBefore w:val="0"/>
        <w:widowControl w:val="0"/>
        <w:kinsoku/>
        <w:wordWrap/>
        <w:overflowPunct/>
        <w:topLinePunct w:val="0"/>
        <w:autoSpaceDE/>
        <w:autoSpaceDN/>
        <w:bidi w:val="0"/>
        <w:snapToGrid/>
        <w:spacing w:line="600" w:lineRule="exact"/>
        <w:ind w:left="0" w:leftChars="0" w:right="0" w:righ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ageBreakBefore w:val="0"/>
        <w:widowControl w:val="0"/>
        <w:kinsoku/>
        <w:wordWrap/>
        <w:overflowPunct/>
        <w:topLinePunct w:val="0"/>
        <w:autoSpaceDE/>
        <w:autoSpaceDN/>
        <w:bidi w:val="0"/>
        <w:snapToGrid/>
        <w:spacing w:line="600" w:lineRule="exact"/>
        <w:ind w:left="0" w:leftChars="0" w:right="0" w:righ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各区县（自治县）司法局，两江新区司法局，万盛经开区党工委政法办，高新区综合执法局，市局机关有关处室，市司法鉴定中心，市司法鉴定协会：</w:t>
      </w:r>
    </w:p>
    <w:p>
      <w:pPr>
        <w:pStyle w:val="9"/>
        <w:pageBreakBefore w:val="0"/>
        <w:widowControl w:val="0"/>
        <w:kinsoku/>
        <w:wordWrap/>
        <w:overflowPunct/>
        <w:topLinePunct w:val="0"/>
        <w:autoSpaceDE/>
        <w:autoSpaceDN/>
        <w:bidi w:val="0"/>
        <w:snapToGrid/>
        <w:spacing w:before="0" w:after="0" w:line="600" w:lineRule="exact"/>
        <w:ind w:left="0" w:leftChars="0" w:right="0" w:rightChars="0"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Regular" w:hAnsi="Times New Roman Regular" w:eastAsia="方正仿宋_GBK" w:cs="Times New Roman Regular"/>
          <w:b w:val="0"/>
          <w:bCs w:val="0"/>
          <w:sz w:val="32"/>
          <w:szCs w:val="32"/>
        </w:rPr>
        <w:t>2021</w:t>
      </w:r>
      <w:r>
        <w:rPr>
          <w:rFonts w:hint="eastAsia" w:ascii="方正仿宋_GBK" w:hAnsi="方正仿宋_GBK" w:eastAsia="方正仿宋_GBK" w:cs="方正仿宋_GBK"/>
          <w:b w:val="0"/>
          <w:bCs w:val="0"/>
          <w:sz w:val="32"/>
          <w:szCs w:val="32"/>
        </w:rPr>
        <w:t>年</w:t>
      </w:r>
      <w:r>
        <w:rPr>
          <w:rFonts w:hint="eastAsia" w:ascii="Times New Roman Regular" w:hAnsi="Times New Roman Regular" w:eastAsia="方正仿宋_GBK" w:cs="Times New Roman Regular"/>
          <w:b w:val="0"/>
          <w:bCs w:val="0"/>
          <w:sz w:val="32"/>
          <w:szCs w:val="32"/>
        </w:rPr>
        <w:t>11</w:t>
      </w:r>
      <w:r>
        <w:rPr>
          <w:rFonts w:hint="eastAsia" w:ascii="方正仿宋_GBK" w:hAnsi="方正仿宋_GBK" w:eastAsia="方正仿宋_GBK" w:cs="方正仿宋_GBK"/>
          <w:b w:val="0"/>
          <w:bCs w:val="0"/>
          <w:sz w:val="32"/>
          <w:szCs w:val="32"/>
        </w:rPr>
        <w:t>月</w:t>
      </w:r>
      <w:r>
        <w:rPr>
          <w:rFonts w:hint="default" w:ascii="Times New Roman Regular" w:hAnsi="Times New Roman Regular" w:eastAsia="方正仿宋_GBK" w:cs="Times New Roman Regular"/>
          <w:b w:val="0"/>
          <w:bCs w:val="0"/>
          <w:sz w:val="32"/>
          <w:szCs w:val="32"/>
        </w:rPr>
        <w:t>30</w:t>
      </w:r>
      <w:r>
        <w:rPr>
          <w:rFonts w:hint="eastAsia" w:ascii="方正仿宋_GBK" w:hAnsi="方正仿宋_GBK" w:eastAsia="方正仿宋_GBK" w:cs="方正仿宋_GBK"/>
          <w:b w:val="0"/>
          <w:bCs w:val="0"/>
          <w:sz w:val="32"/>
          <w:szCs w:val="32"/>
        </w:rPr>
        <w:t>日，市司法局局长办公会审议通过《重庆市司法鉴定机构和司法鉴定人执业评价办法（试行）》，现印发给你们，请认真贯彻落实。</w:t>
      </w:r>
    </w:p>
    <w:p>
      <w:pPr>
        <w:pStyle w:val="9"/>
        <w:pageBreakBefore w:val="0"/>
        <w:widowControl w:val="0"/>
        <w:kinsoku/>
        <w:wordWrap/>
        <w:overflowPunct/>
        <w:topLinePunct w:val="0"/>
        <w:autoSpaceDE/>
        <w:autoSpaceDN/>
        <w:bidi w:val="0"/>
        <w:snapToGrid/>
        <w:spacing w:before="0" w:after="0" w:line="600" w:lineRule="exact"/>
        <w:ind w:left="0" w:leftChars="0" w:right="0" w:rightChars="0"/>
        <w:jc w:val="both"/>
        <w:textAlignment w:val="auto"/>
        <w:rPr>
          <w:rFonts w:hint="eastAsia" w:ascii="方正仿宋_GBK" w:hAnsi="方正仿宋_GBK" w:eastAsia="方正仿宋_GBK" w:cs="方正仿宋_GBK"/>
          <w:sz w:val="32"/>
          <w:szCs w:val="32"/>
        </w:rPr>
      </w:pPr>
    </w:p>
    <w:p>
      <w:pPr>
        <w:pStyle w:val="2"/>
        <w:numPr>
          <w:numId w:val="0"/>
        </w:numPr>
        <w:ind w:leftChars="0"/>
        <w:rPr>
          <w:rFonts w:hint="eastAsia"/>
        </w:rPr>
      </w:pPr>
    </w:p>
    <w:p>
      <w:pPr>
        <w:pStyle w:val="9"/>
        <w:pageBreakBefore w:val="0"/>
        <w:widowControl w:val="0"/>
        <w:kinsoku/>
        <w:wordWrap/>
        <w:overflowPunct/>
        <w:topLinePunct w:val="0"/>
        <w:autoSpaceDE/>
        <w:autoSpaceDN/>
        <w:bidi w:val="0"/>
        <w:snapToGrid/>
        <w:spacing w:before="0" w:after="0" w:line="600" w:lineRule="exact"/>
        <w:ind w:left="0" w:leftChars="0" w:right="0" w:rightChars="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                                   重庆市司法局</w:t>
      </w:r>
    </w:p>
    <w:p>
      <w:pPr>
        <w:pageBreakBefore w:val="0"/>
        <w:widowControl w:val="0"/>
        <w:kinsoku/>
        <w:wordWrap/>
        <w:overflowPunct/>
        <w:topLinePunct w:val="0"/>
        <w:autoSpaceDE/>
        <w:autoSpaceDN/>
        <w:bidi w:val="0"/>
        <w:snapToGrid/>
        <w:spacing w:line="600" w:lineRule="exact"/>
        <w:ind w:left="0" w:leftChars="0" w:right="0" w:rightChars="0" w:firstLine="5353" w:firstLineChars="1673"/>
        <w:textAlignment w:val="auto"/>
        <w:rPr>
          <w:rFonts w:hint="eastAsia" w:ascii="方正仿宋_GBK" w:hAnsi="方正仿宋_GBK" w:eastAsia="方正仿宋_GBK" w:cs="方正仿宋_GBK"/>
          <w:sz w:val="32"/>
          <w:szCs w:val="32"/>
        </w:rPr>
      </w:pPr>
      <w:r>
        <w:rPr>
          <w:rFonts w:hint="eastAsia" w:ascii="Times New Roman Regular" w:hAnsi="Times New Roman Regular" w:eastAsia="方正仿宋_GBK" w:cs="Times New Roman Regular"/>
          <w:b w:val="0"/>
          <w:bCs w:val="0"/>
          <w:kern w:val="2"/>
          <w:sz w:val="32"/>
          <w:szCs w:val="32"/>
          <w:lang w:val="en-US" w:eastAsia="zh-CN" w:bidi="ar-SA"/>
        </w:rPr>
        <w:t>2021</w:t>
      </w:r>
      <w:r>
        <w:rPr>
          <w:rFonts w:hint="eastAsia" w:ascii="方正仿宋_GBK" w:hAnsi="方正仿宋_GBK" w:eastAsia="方正仿宋_GBK" w:cs="方正仿宋_GBK"/>
          <w:sz w:val="32"/>
          <w:szCs w:val="32"/>
        </w:rPr>
        <w:t>年</w:t>
      </w:r>
      <w:r>
        <w:rPr>
          <w:rFonts w:hint="eastAsia" w:ascii="Times New Roman Regular" w:hAnsi="Times New Roman Regular" w:eastAsia="方正仿宋_GBK" w:cs="Times New Roman Regular"/>
          <w:b w:val="0"/>
          <w:bCs w:val="0"/>
          <w:kern w:val="2"/>
          <w:sz w:val="32"/>
          <w:szCs w:val="32"/>
          <w:lang w:val="en-US" w:eastAsia="zh-CN" w:bidi="ar-SA"/>
        </w:rPr>
        <w:t>12</w:t>
      </w:r>
      <w:r>
        <w:rPr>
          <w:rFonts w:hint="eastAsia" w:ascii="方正仿宋_GBK" w:hAnsi="方正仿宋_GBK" w:eastAsia="方正仿宋_GBK" w:cs="方正仿宋_GBK"/>
          <w:sz w:val="32"/>
          <w:szCs w:val="32"/>
        </w:rPr>
        <w:t>月</w:t>
      </w:r>
      <w:r>
        <w:rPr>
          <w:rFonts w:hint="eastAsia" w:ascii="Times New Roman Regular" w:hAnsi="Times New Roman Regular" w:eastAsia="方正仿宋_GBK" w:cs="Times New Roman Regular"/>
          <w:b w:val="0"/>
          <w:bCs w:val="0"/>
          <w:kern w:val="2"/>
          <w:sz w:val="32"/>
          <w:szCs w:val="32"/>
          <w:lang w:val="en-US" w:eastAsia="zh-CN" w:bidi="ar-SA"/>
        </w:rPr>
        <w:t>1</w:t>
      </w:r>
      <w:r>
        <w:rPr>
          <w:rFonts w:hint="eastAsia" w:ascii="方正仿宋_GBK" w:hAnsi="方正仿宋_GBK" w:eastAsia="方正仿宋_GBK" w:cs="方正仿宋_GBK"/>
          <w:sz w:val="32"/>
          <w:szCs w:val="32"/>
        </w:rPr>
        <w:t>日</w:t>
      </w:r>
    </w:p>
    <w:p>
      <w:pPr>
        <w:pStyle w:val="2"/>
        <w:pageBreakBefore w:val="0"/>
        <w:widowControl w:val="0"/>
        <w:numPr>
          <w:numId w:val="0"/>
        </w:numPr>
        <w:kinsoku/>
        <w:wordWrap/>
        <w:overflowPunct/>
        <w:topLinePunct w:val="0"/>
        <w:autoSpaceDE/>
        <w:autoSpaceDN/>
        <w:bidi w:val="0"/>
        <w:snapToGrid/>
        <w:spacing w:line="600" w:lineRule="exact"/>
        <w:ind w:leftChars="0" w:right="0" w:rightChars="0"/>
        <w:textAlignment w:val="auto"/>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numPr>
          <w:numId w:val="0"/>
        </w:numPr>
        <w:ind w:leftChars="0"/>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numPr>
          <w:numId w:val="0"/>
        </w:numPr>
        <w:ind w:leftChars="0"/>
        <w:rPr>
          <w:rFonts w:hint="eastAsia"/>
        </w:rPr>
      </w:pPr>
    </w:p>
    <w:p>
      <w:pPr>
        <w:rPr>
          <w:rFonts w:hint="eastAsia"/>
        </w:rPr>
      </w:pPr>
    </w:p>
    <w:p>
      <w:pPr>
        <w:rPr>
          <w:rFonts w:hint="eastAsia"/>
        </w:rPr>
      </w:pPr>
    </w:p>
    <w:p>
      <w:pPr>
        <w:pageBreakBefore w:val="0"/>
        <w:widowControl w:val="0"/>
        <w:kinsoku/>
        <w:wordWrap/>
        <w:overflowPunct/>
        <w:topLinePunct w:val="0"/>
        <w:autoSpaceDE/>
        <w:autoSpaceDN/>
        <w:bidi w:val="0"/>
        <w:snapToGrid/>
        <w:spacing w:line="600" w:lineRule="exact"/>
        <w:ind w:left="0" w:leftChars="0" w:right="0" w:rightChars="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重庆市司法鉴定机构和司法鉴定人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执业评价办法（试行）</w:t>
      </w:r>
    </w:p>
    <w:p>
      <w:pPr>
        <w:pageBreakBefore w:val="0"/>
        <w:widowControl w:val="0"/>
        <w:kinsoku/>
        <w:wordWrap/>
        <w:overflowPunct/>
        <w:topLinePunct w:val="0"/>
        <w:autoSpaceDE/>
        <w:autoSpaceDN/>
        <w:bidi w:val="0"/>
        <w:snapToGrid/>
        <w:spacing w:line="600" w:lineRule="exact"/>
        <w:ind w:left="0" w:leftChars="0" w:right="0" w:rightChars="0"/>
        <w:jc w:val="center"/>
        <w:textAlignment w:val="auto"/>
        <w:rPr>
          <w:rFonts w:hint="eastAsia" w:ascii="方正仿宋_GBK" w:hAnsi="方正仿宋_GBK" w:eastAsia="方正仿宋_GBK" w:cs="方正仿宋_GBK"/>
          <w:sz w:val="32"/>
          <w:szCs w:val="32"/>
        </w:rPr>
      </w:pPr>
    </w:p>
    <w:p>
      <w:pPr>
        <w:pageBreakBefore w:val="0"/>
        <w:widowControl w:val="0"/>
        <w:kinsoku/>
        <w:wordWrap/>
        <w:overflowPunct/>
        <w:topLinePunct w:val="0"/>
        <w:autoSpaceDE/>
        <w:autoSpaceDN/>
        <w:bidi w:val="0"/>
        <w:snapToGrid/>
        <w:spacing w:line="600" w:lineRule="exact"/>
        <w:ind w:left="0" w:leftChars="0" w:right="0" w:right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黑体_GBK" w:hAnsi="方正黑体_GBK" w:eastAsia="方正黑体_GBK" w:cs="方正黑体_GBK"/>
          <w:sz w:val="32"/>
          <w:szCs w:val="32"/>
        </w:rPr>
      </w:pP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xml:space="preserve">  为系统、客观、公正地评价司法鉴定机构和司法鉴定人的执业行为，充分发挥执业评价的导向和监督作用，推动全市司法鉴定行业规范有序、高质量发展，根据《全国人民代表大会常务委员会关于司法鉴定管理问题的决定》《重庆市司法鉴定条例》、司法部《司法鉴定机构登记管理办法》《司法鉴定人登记管理办法》等有关法律法规、规章的规定，结合重庆实际，制定本办法。</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第二条 </w:t>
      </w:r>
      <w:r>
        <w:rPr>
          <w:rFonts w:hint="eastAsia" w:ascii="方正仿宋_GBK" w:hAnsi="方正仿宋_GBK" w:eastAsia="方正仿宋_GBK" w:cs="方正仿宋_GBK"/>
          <w:sz w:val="32"/>
          <w:szCs w:val="32"/>
        </w:rPr>
        <w:t xml:space="preserve"> 本办法适用于经市司法局审核登记的法医类、物证类、声像资料、环境损害司法鉴定机构及其司法鉴定人的执业评价工作。</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xml:space="preserve">  本办法所称执业评价，是指司法行政机关依法对司法鉴定机构和司法鉴定人的执业情况定期作出评价的活动。</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rPr>
        <w:t xml:space="preserve">  执业评价应当坚持客观公正、动态监管、注重导向、强化激励的原则。</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第五条</w:t>
      </w: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 xml:space="preserve"> 执业评价应当充分运用“智慧司鉴”管理系统，加强司法鉴定活动全流程监管，加强数据分析研判，强化核查比对，不断提升信息化监管水平。</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第六条</w:t>
      </w: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 xml:space="preserve"> 市司法局负责组织实施全市司法鉴定机构和司法鉴定人执业评价工作。</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区县（自治县）司法局负责具体实施辖区内司法鉴定机构和司法鉴定人的执业评价初评工作。</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司法鉴定机构负责按照要求完成本机构的执业自评、组织并核查所属司法鉴定人的执业自评工作。</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第七条</w:t>
      </w:r>
      <w:r>
        <w:rPr>
          <w:rFonts w:hint="eastAsia" w:ascii="方正仿宋_GBK" w:hAnsi="方正仿宋_GBK" w:eastAsia="方正仿宋_GBK" w:cs="方正仿宋_GBK"/>
          <w:sz w:val="32"/>
          <w:szCs w:val="32"/>
        </w:rPr>
        <w:t xml:space="preserve">  新申请登记、执业年限未满一年的司法鉴定机构和司法鉴定人，不参与当年开展的执业评价。 </w:t>
      </w:r>
    </w:p>
    <w:p>
      <w:pPr>
        <w:pStyle w:val="8"/>
        <w:pageBreakBefore w:val="0"/>
        <w:widowControl w:val="0"/>
        <w:kinsoku/>
        <w:wordWrap/>
        <w:overflowPunct/>
        <w:topLinePunct w:val="0"/>
        <w:autoSpaceDE/>
        <w:autoSpaceDN/>
        <w:bidi w:val="0"/>
        <w:adjustRightInd w:val="0"/>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p>
    <w:p>
      <w:pPr>
        <w:pStyle w:val="8"/>
        <w:pageBreakBefore w:val="0"/>
        <w:widowControl w:val="0"/>
        <w:kinsoku/>
        <w:wordWrap/>
        <w:overflowPunct/>
        <w:topLinePunct w:val="0"/>
        <w:autoSpaceDE/>
        <w:autoSpaceDN/>
        <w:bidi w:val="0"/>
        <w:adjustRightInd w:val="0"/>
        <w:snapToGrid/>
        <w:spacing w:before="0" w:beforeAutospacing="0" w:after="0" w:afterAutospacing="0" w:line="600" w:lineRule="exact"/>
        <w:ind w:left="0" w:leftChars="0" w:right="0" w:rightChars="0"/>
        <w:jc w:val="center"/>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第二章  评价指标和等级</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kern w:val="2"/>
          <w:sz w:val="32"/>
          <w:szCs w:val="32"/>
          <w:lang w:val="en-US" w:eastAsia="zh-CN" w:bidi="ar-SA"/>
        </w:rPr>
        <w:t>第八条</w:t>
      </w:r>
      <w:r>
        <w:rPr>
          <w:rFonts w:hint="eastAsia" w:ascii="方正仿宋_GBK" w:hAnsi="方正仿宋_GBK" w:eastAsia="方正仿宋_GBK" w:cs="方正仿宋_GBK"/>
          <w:sz w:val="32"/>
          <w:szCs w:val="32"/>
        </w:rPr>
        <w:t xml:space="preserve">  执业评价指标分为基础指标和加分指标两项，总分100分。其中，基础指标90分，采取扣分形式，每个单项扣完为止；加分指标10分，所有单项累计不超过10分。</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kern w:val="2"/>
          <w:sz w:val="32"/>
          <w:szCs w:val="32"/>
          <w:lang w:val="en-US" w:eastAsia="zh-CN" w:bidi="ar-SA"/>
        </w:rPr>
        <w:t>第九条</w:t>
      </w:r>
      <w:r>
        <w:rPr>
          <w:rFonts w:hint="eastAsia" w:ascii="方正仿宋_GBK" w:hAnsi="方正仿宋_GBK" w:eastAsia="方正仿宋_GBK" w:cs="方正仿宋_GBK"/>
          <w:sz w:val="32"/>
          <w:szCs w:val="32"/>
        </w:rPr>
        <w:t xml:space="preserve">  司法鉴定机构执业评价基础指标包括以下内容：</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（一）党建工作：包括党组织建设、党员管理、“三会一课”，以及对违法违规执业、违背职业道德的党员司法鉴定人落实党纪责任追究等情况；</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（二）能力资质：包括注册资金、执业场所、资质能力、仪器设备配置及运行维护、实验室建设以及相关业务领域通过能力验证结果等情况；</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（三）队伍建设：包括鉴定人员构成、教育培训、执业表现、司法鉴定人执业评价结果等情况；</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（四）内部管理：包括业务流程、质量控制、投诉处理、财务管理、人事管理、档案管理等制度建设和实施情况；</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（五）执业情况：包括业务数量和质量，履行援助义务，遵守职业道德和执业纪律，是否受到行政处罚、行政处理、行业处分等情况；</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（六）其他：包括参与司法鉴定行业突出问题专项治理，开展公益服务，办理重大鉴定事项，12348重庆法网“重庆市司法鉴定管理服务系统”基础信息维护及案件录入、案例报送、统计报表报送等情况。</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kern w:val="2"/>
          <w:sz w:val="32"/>
          <w:szCs w:val="32"/>
          <w:lang w:val="en-US" w:eastAsia="zh-CN" w:bidi="ar-SA"/>
        </w:rPr>
        <w:t>第十条</w:t>
      </w:r>
      <w:r>
        <w:rPr>
          <w:rFonts w:hint="eastAsia" w:ascii="方正仿宋_GBK" w:hAnsi="方正仿宋_GBK" w:eastAsia="方正仿宋_GBK" w:cs="方正仿宋_GBK"/>
          <w:sz w:val="32"/>
          <w:szCs w:val="32"/>
        </w:rPr>
        <w:t xml:space="preserve">  司法鉴定机构执业评价加分指标包括：参加司法部组织的各类活动获奖情况，科研成果，新闻宣传报道，参与公共法律服务体系建设，其他获得表彰奖励等情况。</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kern w:val="2"/>
          <w:sz w:val="32"/>
          <w:szCs w:val="32"/>
          <w:lang w:val="en-US" w:eastAsia="zh-CN" w:bidi="ar-SA"/>
        </w:rPr>
        <w:t>第十一条</w:t>
      </w:r>
      <w:r>
        <w:rPr>
          <w:rFonts w:hint="eastAsia" w:ascii="方正仿宋_GBK" w:hAnsi="方正仿宋_GBK" w:eastAsia="方正仿宋_GBK" w:cs="方正仿宋_GBK"/>
          <w:sz w:val="32"/>
          <w:szCs w:val="32"/>
        </w:rPr>
        <w:t xml:space="preserve">  司法鉴定人执业评价基础指标包括以下内容：</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（一）政治素质：包括坚持正确政治方向，拥护党的领导、拥护社会主义法治，践行社会主义核心价值观等情况；</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（二）能力水平：包括司法鉴定人的学历、技术职称、行业资格等变动情况，参加教育培训及考试考核等情况；</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（三）执业表现：包括业务数量和质量，履行援助义务，是否受到行政处罚、行政处理、行业处分等情况；</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（四）职业道德：包括热爱司法鉴定事业、依法规范执业、廉洁诚信服务，履行职责使命等情况；</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（五）其他：包括参与司法鉴定行业专项活动，参加公益活动，办理重大鉴定事项，接受司法行政机关和司法鉴定协会的监督管理等情况。</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kern w:val="2"/>
          <w:sz w:val="32"/>
          <w:szCs w:val="32"/>
          <w:lang w:val="en-US" w:eastAsia="zh-CN" w:bidi="ar-SA"/>
        </w:rPr>
        <w:t>第十二条</w:t>
      </w:r>
      <w:r>
        <w:rPr>
          <w:rFonts w:hint="eastAsia" w:ascii="方正仿宋_GBK" w:hAnsi="方正仿宋_GBK" w:eastAsia="方正仿宋_GBK" w:cs="方正仿宋_GBK"/>
          <w:sz w:val="32"/>
          <w:szCs w:val="32"/>
        </w:rPr>
        <w:t xml:space="preserve">  司法鉴定人执业评价加分指标包括：参加司法部组织的各类活动获奖情况，参加司法鉴定行业专项活动，科研成果，参与公共法律服务体系建设，其他获得表彰奖励等情况。</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kern w:val="2"/>
          <w:sz w:val="32"/>
          <w:szCs w:val="32"/>
          <w:lang w:val="en-US" w:eastAsia="zh-CN" w:bidi="ar-SA"/>
        </w:rPr>
        <w:t>第十三条</w:t>
      </w:r>
      <w:r>
        <w:rPr>
          <w:rFonts w:hint="eastAsia" w:ascii="方正仿宋_GBK" w:hAnsi="方正仿宋_GBK" w:eastAsia="方正仿宋_GBK" w:cs="方正仿宋_GBK"/>
          <w:sz w:val="32"/>
          <w:szCs w:val="32"/>
        </w:rPr>
        <w:t xml:space="preserve">  根据评价指标得分情况，执业评价分为优秀、良好、合格、不合格四个等级：</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（一）评价分值在90分以上的，等级确定为优秀；</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（二）评价分值在75分―89分之间的，等级确定为良好；</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（三）评价分值在60分―74分之间的，等级确定为合格；</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（四）评价分值在59分以下的，等级确定为不合格。</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kern w:val="2"/>
          <w:sz w:val="32"/>
          <w:szCs w:val="32"/>
          <w:lang w:val="en-US" w:eastAsia="zh-CN" w:bidi="ar-SA"/>
        </w:rPr>
        <w:t>第十四条</w:t>
      </w:r>
      <w:r>
        <w:rPr>
          <w:rFonts w:hint="eastAsia" w:ascii="方正仿宋_GBK" w:hAnsi="方正仿宋_GBK" w:eastAsia="方正仿宋_GBK" w:cs="方正仿宋_GBK"/>
          <w:sz w:val="32"/>
          <w:szCs w:val="32"/>
        </w:rPr>
        <w:t xml:space="preserve">  司法鉴定机构在执业评价工作中存在以下情形的，直接确定为不合格：</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（一）构成单位犯罪的；</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（二）被列为严重失信主体的；</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（三）所属司法鉴定人、其他工作人员因实施鉴定受到刑事处罚的；</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（四）被司法行政机关处以暂停执业六个月以上行政处罚的；</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（五）申报材料经查实存在严重瞒报、重大虚假内容的；</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（六）对所属司法鉴定人的申报材料审核不严、造成重大不良影响的；</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（七）不申报执业评价材料的； </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（八）其他严重违反法律法规、规章规定情形的。</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第十五条</w:t>
      </w: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 xml:space="preserve"> 司法鉴定人在执业评价工作中存在以下情形的，直接确定为不合格：</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（一）被列为严重失信主体的；</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（二）被司法行政机关处以暂停执业六个月以上行政处罚的；</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（三）申报材料经查实存在严重瞒报、重大虚假内容的； </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（四）不申报执业评价材料的；</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（五）其他严重违反法律法规、规章规定情形的。</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p>
    <w:p>
      <w:pPr>
        <w:pageBreakBefore w:val="0"/>
        <w:widowControl w:val="0"/>
        <w:kinsoku/>
        <w:wordWrap/>
        <w:overflowPunct/>
        <w:topLinePunct w:val="0"/>
        <w:autoSpaceDE/>
        <w:autoSpaceDN/>
        <w:bidi w:val="0"/>
        <w:snapToGrid/>
        <w:spacing w:line="600" w:lineRule="exact"/>
        <w:ind w:left="0" w:leftChars="0" w:right="0" w:rightChars="0" w:firstLine="640" w:firstLineChars="200"/>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第三章  评价程序和方式</w:t>
      </w:r>
    </w:p>
    <w:p>
      <w:pPr>
        <w:pageBreakBefore w:val="0"/>
        <w:widowControl w:val="0"/>
        <w:kinsoku/>
        <w:wordWrap/>
        <w:overflowPunct/>
        <w:topLinePunct w:val="0"/>
        <w:autoSpaceDE/>
        <w:autoSpaceDN/>
        <w:bidi w:val="0"/>
        <w:snapToGrid/>
        <w:spacing w:line="600" w:lineRule="exact"/>
        <w:ind w:left="0" w:leftChars="0" w:right="0" w:rightChars="0" w:firstLine="640" w:firstLineChars="200"/>
        <w:jc w:val="center"/>
        <w:textAlignment w:val="auto"/>
        <w:rPr>
          <w:rFonts w:hint="eastAsia" w:ascii="方正黑体_GBK" w:hAnsi="方正黑体_GBK" w:eastAsia="方正黑体_GBK" w:cs="方正黑体_GBK"/>
          <w:b w:val="0"/>
          <w:bCs/>
          <w:sz w:val="32"/>
          <w:szCs w:val="32"/>
        </w:rPr>
      </w:pP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第十六条</w:t>
      </w:r>
      <w:r>
        <w:rPr>
          <w:rFonts w:hint="eastAsia" w:ascii="方正仿宋_GBK" w:hAnsi="方正仿宋_GBK" w:eastAsia="方正仿宋_GBK" w:cs="方正仿宋_GBK"/>
          <w:sz w:val="32"/>
          <w:szCs w:val="32"/>
        </w:rPr>
        <w:t xml:space="preserve">  司法鉴定机构应当组织所属司法鉴定人按照执业评价工作要求及时提交《司法鉴定人执业评价量化表》及相关证明材料等。</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第十七</w:t>
      </w:r>
      <w:r>
        <w:rPr>
          <w:rFonts w:hint="eastAsia" w:ascii="方正仿宋_GBK" w:hAnsi="方正仿宋_GBK" w:eastAsia="方正仿宋_GBK" w:cs="方正仿宋_GBK"/>
          <w:b/>
          <w:sz w:val="32"/>
          <w:szCs w:val="32"/>
        </w:rPr>
        <w:t>条</w:t>
      </w:r>
      <w:r>
        <w:rPr>
          <w:rFonts w:hint="eastAsia" w:ascii="方正仿宋_GBK" w:hAnsi="方正仿宋_GBK" w:eastAsia="方正仿宋_GBK" w:cs="方正仿宋_GBK"/>
          <w:sz w:val="32"/>
          <w:szCs w:val="32"/>
        </w:rPr>
        <w:t xml:space="preserve">  司法鉴定机构应当及时审查所属司法鉴定人的执业评价材料，出具初评意见并经司法鉴定人本人签署意见。发现填报内容、证明材料不符合规定要求或者有疑义的，应当要求司法鉴定人及时补正或者作出说明，必要时可以进行调查核实。</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第十八</w:t>
      </w:r>
      <w:r>
        <w:rPr>
          <w:rFonts w:hint="eastAsia" w:ascii="方正仿宋_GBK" w:hAnsi="方正仿宋_GBK" w:eastAsia="方正仿宋_GBK" w:cs="方正仿宋_GBK"/>
          <w:b/>
          <w:sz w:val="32"/>
          <w:szCs w:val="32"/>
        </w:rPr>
        <w:t xml:space="preserve">条 </w:t>
      </w:r>
      <w:r>
        <w:rPr>
          <w:rFonts w:hint="eastAsia" w:ascii="方正仿宋_GBK" w:hAnsi="方正仿宋_GBK" w:eastAsia="方正仿宋_GBK" w:cs="方正仿宋_GBK"/>
          <w:sz w:val="32"/>
          <w:szCs w:val="32"/>
        </w:rPr>
        <w:t xml:space="preserve"> 司法鉴定机构应当按照执业评价工作要求向所属区县（自治县）司法局提交《司法鉴定机构执业评价量化表》《司法鉴定人执业评价量化表》及相关证明材料等。</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对于司法鉴定机构提交的证明材料系复印件的，区县（自治县）司法局应当查验原件并在复印件上注明查验情况并盖章。</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第十九</w:t>
      </w:r>
      <w:r>
        <w:rPr>
          <w:rFonts w:hint="eastAsia" w:ascii="方正仿宋_GBK" w:hAnsi="方正仿宋_GBK" w:eastAsia="方正仿宋_GBK" w:cs="方正仿宋_GBK"/>
          <w:b/>
          <w:sz w:val="32"/>
          <w:szCs w:val="32"/>
        </w:rPr>
        <w:t>条</w:t>
      </w:r>
      <w:r>
        <w:rPr>
          <w:rFonts w:hint="eastAsia" w:ascii="方正仿宋_GBK" w:hAnsi="方正仿宋_GBK" w:eastAsia="方正仿宋_GBK" w:cs="方正仿宋_GBK"/>
          <w:sz w:val="32"/>
          <w:szCs w:val="32"/>
        </w:rPr>
        <w:t xml:space="preserve">  区县（自治县）司法局可以按照评价指标，自行确定本辖区执业评价初评的具体程序和方式。</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区县（自治县）司法局应当就所辖司法鉴定机构及其司法鉴定人的执业评价初评意见，书面征求当地政法机关等相关部门的意见。</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区县（自治县）司法局应当按照执业评价工作要求，将所辖司法鉴定机构及其司法鉴定人执业评价初评意见连同评价</w:t>
      </w:r>
      <w:r>
        <w:rPr>
          <w:rFonts w:hint="eastAsia" w:ascii="方正仿宋_GBK" w:hAnsi="方正仿宋_GBK" w:eastAsia="方正仿宋_GBK" w:cs="方正仿宋_GBK"/>
          <w:sz w:val="32"/>
          <w:szCs w:val="32"/>
          <w:lang w:val="en-US" w:eastAsia="zh-CN"/>
        </w:rPr>
        <w:t>申报</w:t>
      </w:r>
      <w:r>
        <w:rPr>
          <w:rFonts w:hint="eastAsia" w:ascii="方正仿宋_GBK" w:hAnsi="方正仿宋_GBK" w:eastAsia="方正仿宋_GBK" w:cs="方正仿宋_GBK"/>
          <w:sz w:val="32"/>
          <w:szCs w:val="32"/>
        </w:rPr>
        <w:t>材料一并报送市司法局。</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第二十</w:t>
      </w:r>
      <w:r>
        <w:rPr>
          <w:rFonts w:hint="eastAsia" w:ascii="方正仿宋_GBK" w:hAnsi="方正仿宋_GBK" w:eastAsia="方正仿宋_GBK" w:cs="方正仿宋_GBK"/>
          <w:b/>
          <w:sz w:val="32"/>
          <w:szCs w:val="32"/>
        </w:rPr>
        <w:t>条</w:t>
      </w:r>
      <w:r>
        <w:rPr>
          <w:rFonts w:hint="eastAsia" w:ascii="方正仿宋_GBK" w:hAnsi="方正仿宋_GBK" w:eastAsia="方正仿宋_GBK" w:cs="方正仿宋_GBK"/>
          <w:sz w:val="32"/>
          <w:szCs w:val="32"/>
        </w:rPr>
        <w:t xml:space="preserve">  市司法局原则上采取书面评审方式开展综合评价工作，确定评价等级。必要时，可以邀请市司法鉴定专家委员会成员组成联合评审组，进行现场调查核实。</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u w:val="single"/>
        </w:rPr>
      </w:pPr>
      <w:r>
        <w:rPr>
          <w:rFonts w:hint="eastAsia" w:ascii="方正黑体_GBK" w:hAnsi="方正黑体_GBK" w:eastAsia="方正黑体_GBK" w:cs="方正黑体_GBK"/>
          <w:b w:val="0"/>
          <w:bCs/>
          <w:sz w:val="32"/>
          <w:szCs w:val="32"/>
        </w:rPr>
        <w:t>第二十一</w:t>
      </w:r>
      <w:r>
        <w:rPr>
          <w:rFonts w:hint="eastAsia" w:ascii="方正仿宋_GBK" w:hAnsi="方正仿宋_GBK" w:eastAsia="方正仿宋_GBK" w:cs="方正仿宋_GBK"/>
          <w:b/>
          <w:sz w:val="32"/>
          <w:szCs w:val="32"/>
        </w:rPr>
        <w:t>条</w:t>
      </w:r>
      <w:r>
        <w:rPr>
          <w:rFonts w:hint="eastAsia" w:ascii="方正仿宋_GBK" w:hAnsi="方正仿宋_GBK" w:eastAsia="方正仿宋_GBK" w:cs="方正仿宋_GBK"/>
          <w:sz w:val="32"/>
          <w:szCs w:val="32"/>
        </w:rPr>
        <w:t xml:space="preserve">  市司法局应当就拟定的全市各司法鉴定机构及其司法鉴定人的执业评价等级，书面征求市级政法机关、行政执法单位、相关行业主管部门的意见。</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第二十二</w:t>
      </w:r>
      <w:r>
        <w:rPr>
          <w:rFonts w:hint="eastAsia" w:ascii="方正仿宋_GBK" w:hAnsi="方正仿宋_GBK" w:eastAsia="方正仿宋_GBK" w:cs="方正仿宋_GBK"/>
          <w:b/>
          <w:sz w:val="32"/>
          <w:szCs w:val="32"/>
        </w:rPr>
        <w:t>条</w:t>
      </w:r>
      <w:r>
        <w:rPr>
          <w:rFonts w:hint="eastAsia" w:ascii="方正仿宋_GBK" w:hAnsi="方正仿宋_GBK" w:eastAsia="方正仿宋_GBK" w:cs="方正仿宋_GBK"/>
          <w:sz w:val="32"/>
          <w:szCs w:val="32"/>
        </w:rPr>
        <w:t xml:space="preserve">  对司法鉴定机构及其司法鉴定人拟确定的执业评价等级在重庆司法行政网、12348重庆法网公示七天。公示期间，任何单位或个人对评价结果有异议的，应当在公示期内向市司法局书面提出复核申请，并提供相关证明材料。经审查确有必要的，市司法局启动复核程序。复核结果及时反馈申请单位或个人。</w:t>
      </w:r>
    </w:p>
    <w:p>
      <w:pPr>
        <w:pageBreakBefore w:val="0"/>
        <w:widowControl w:val="0"/>
        <w:kinsoku/>
        <w:wordWrap/>
        <w:overflowPunct/>
        <w:topLinePunct w:val="0"/>
        <w:autoSpaceDE/>
        <w:autoSpaceDN/>
        <w:bidi w:val="0"/>
        <w:snapToGrid/>
        <w:spacing w:line="600" w:lineRule="exact"/>
        <w:ind w:left="0" w:leftChars="0" w:right="0" w:rightChars="0"/>
        <w:jc w:val="center"/>
        <w:textAlignment w:val="auto"/>
        <w:rPr>
          <w:rFonts w:hint="eastAsia" w:ascii="方正仿宋_GBK" w:hAnsi="方正仿宋_GBK" w:eastAsia="方正仿宋_GBK" w:cs="方正仿宋_GBK"/>
          <w:sz w:val="32"/>
          <w:szCs w:val="32"/>
        </w:rPr>
      </w:pPr>
    </w:p>
    <w:p>
      <w:pPr>
        <w:pageBreakBefore w:val="0"/>
        <w:widowControl w:val="0"/>
        <w:kinsoku/>
        <w:wordWrap/>
        <w:overflowPunct/>
        <w:topLinePunct w:val="0"/>
        <w:autoSpaceDE/>
        <w:autoSpaceDN/>
        <w:bidi w:val="0"/>
        <w:snapToGrid/>
        <w:spacing w:line="600" w:lineRule="exact"/>
        <w:ind w:left="0" w:leftChars="0" w:right="0" w:rightChars="0" w:firstLine="640" w:firstLineChars="200"/>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第四章  结果运用</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p>
    <w:p>
      <w:pPr>
        <w:pageBreakBefore w:val="0"/>
        <w:widowControl w:val="0"/>
        <w:kinsoku/>
        <w:wordWrap/>
        <w:overflowPunct/>
        <w:topLinePunct w:val="0"/>
        <w:autoSpaceDE/>
        <w:autoSpaceDN/>
        <w:bidi w:val="0"/>
        <w:snapToGrid/>
        <w:spacing w:line="600" w:lineRule="exact"/>
        <w:ind w:left="0" w:leftChars="0"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第二十三</w:t>
      </w:r>
      <w:r>
        <w:rPr>
          <w:rFonts w:hint="eastAsia" w:ascii="方正仿宋_GBK" w:hAnsi="方正仿宋_GBK" w:eastAsia="方正仿宋_GBK" w:cs="方正仿宋_GBK"/>
          <w:b/>
          <w:sz w:val="32"/>
          <w:szCs w:val="32"/>
        </w:rPr>
        <w:t xml:space="preserve">条 </w:t>
      </w:r>
      <w:r>
        <w:rPr>
          <w:rFonts w:hint="eastAsia" w:ascii="方正仿宋_GBK" w:hAnsi="方正仿宋_GBK" w:eastAsia="方正仿宋_GBK" w:cs="方正仿宋_GBK"/>
          <w:sz w:val="32"/>
          <w:szCs w:val="32"/>
        </w:rPr>
        <w:t xml:space="preserve"> 经公示无异议或经复核后评价等级明确的，市司法局以书面形式告知受评司法鉴定机构和司法鉴定人，同时在重庆司法行政网、12348重庆法网公布评价结果，并以适当方式通报政法机关、行政执法单位、相关行业主管部门等。</w:t>
      </w:r>
    </w:p>
    <w:p>
      <w:pPr>
        <w:pageBreakBefore w:val="0"/>
        <w:widowControl w:val="0"/>
        <w:kinsoku/>
        <w:wordWrap/>
        <w:overflowPunct/>
        <w:topLinePunct w:val="0"/>
        <w:autoSpaceDE/>
        <w:autoSpaceDN/>
        <w:bidi w:val="0"/>
        <w:snapToGrid/>
        <w:spacing w:line="600" w:lineRule="exact"/>
        <w:ind w:left="0" w:leftChars="0"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第二十四</w:t>
      </w:r>
      <w:r>
        <w:rPr>
          <w:rFonts w:hint="eastAsia" w:ascii="方正仿宋_GBK" w:hAnsi="方正仿宋_GBK" w:eastAsia="方正仿宋_GBK" w:cs="方正仿宋_GBK"/>
          <w:b/>
          <w:sz w:val="32"/>
          <w:szCs w:val="32"/>
        </w:rPr>
        <w:t>条</w:t>
      </w:r>
      <w:r>
        <w:rPr>
          <w:rFonts w:hint="eastAsia" w:ascii="方正仿宋_GBK" w:hAnsi="方正仿宋_GBK" w:eastAsia="方正仿宋_GBK" w:cs="方正仿宋_GBK"/>
          <w:sz w:val="32"/>
          <w:szCs w:val="32"/>
        </w:rPr>
        <w:t xml:space="preserve">  对于评价指标有扣分项目的，司法鉴定机构、司法鉴定人应当对照整改。司法行政机关适时检查整改落实情况。</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第二十五</w:t>
      </w:r>
      <w:r>
        <w:rPr>
          <w:rFonts w:hint="eastAsia" w:ascii="方正仿宋_GBK" w:hAnsi="方正仿宋_GBK" w:eastAsia="方正仿宋_GBK" w:cs="方正仿宋_GBK"/>
          <w:b/>
          <w:sz w:val="32"/>
          <w:szCs w:val="32"/>
        </w:rPr>
        <w:t>条</w:t>
      </w:r>
      <w:r>
        <w:rPr>
          <w:rFonts w:hint="eastAsia" w:ascii="方正仿宋_GBK" w:hAnsi="方正仿宋_GBK" w:eastAsia="方正仿宋_GBK" w:cs="方正仿宋_GBK"/>
          <w:sz w:val="32"/>
          <w:szCs w:val="32"/>
        </w:rPr>
        <w:t xml:space="preserve">  对于评价结果为不合格的司法鉴定机构、司法鉴定人，所在地区县（自治县）司法局应当将其纳入重点监管名录，并责令其在三个月内完成整改。整改期满后，司法行政机关组织重新评审，经评审不符合设立和准入条件的，依法依规处理。</w:t>
      </w:r>
    </w:p>
    <w:p>
      <w:pPr>
        <w:pStyle w:val="8"/>
        <w:pageBreakBefore w:val="0"/>
        <w:widowControl w:val="0"/>
        <w:kinsoku/>
        <w:wordWrap/>
        <w:overflowPunct/>
        <w:topLinePunct w:val="0"/>
        <w:autoSpaceDE/>
        <w:autoSpaceDN/>
        <w:bidi w:val="0"/>
        <w:adjustRightInd w:val="0"/>
        <w:snapToGrid/>
        <w:spacing w:before="0" w:beforeAutospacing="0" w:after="0" w:afterAutospacing="0"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p>
    <w:p>
      <w:pPr>
        <w:pStyle w:val="8"/>
        <w:pageBreakBefore w:val="0"/>
        <w:widowControl w:val="0"/>
        <w:kinsoku/>
        <w:wordWrap/>
        <w:overflowPunct/>
        <w:topLinePunct w:val="0"/>
        <w:autoSpaceDE/>
        <w:autoSpaceDN/>
        <w:bidi w:val="0"/>
        <w:adjustRightInd w:val="0"/>
        <w:snapToGrid/>
        <w:spacing w:before="0" w:beforeAutospacing="0" w:after="0" w:afterAutospacing="0" w:line="600" w:lineRule="exact"/>
        <w:ind w:left="0" w:leftChars="0" w:right="0" w:right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附    则</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黑体_GBK" w:hAnsi="方正黑体_GBK" w:eastAsia="方正黑体_GBK" w:cs="方正黑体_GBK"/>
          <w:sz w:val="32"/>
          <w:szCs w:val="32"/>
        </w:rPr>
      </w:pP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第二十六</w:t>
      </w:r>
      <w:r>
        <w:rPr>
          <w:rFonts w:hint="eastAsia" w:ascii="方正仿宋_GBK" w:hAnsi="方正仿宋_GBK" w:eastAsia="方正仿宋_GBK" w:cs="方正仿宋_GBK"/>
          <w:b/>
          <w:sz w:val="32"/>
          <w:szCs w:val="32"/>
        </w:rPr>
        <w:t>条</w:t>
      </w:r>
      <w:r>
        <w:rPr>
          <w:rFonts w:hint="eastAsia" w:ascii="方正仿宋_GBK" w:hAnsi="方正仿宋_GBK" w:eastAsia="方正仿宋_GBK" w:cs="方正仿宋_GBK"/>
          <w:sz w:val="32"/>
          <w:szCs w:val="32"/>
        </w:rPr>
        <w:t xml:space="preserve">  本办法由重庆市司法局负责解释。</w:t>
      </w:r>
    </w:p>
    <w:p>
      <w:pPr>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第二十七</w:t>
      </w:r>
      <w:r>
        <w:rPr>
          <w:rFonts w:hint="eastAsia" w:ascii="方正仿宋_GBK" w:hAnsi="方正仿宋_GBK" w:eastAsia="方正仿宋_GBK" w:cs="方正仿宋_GBK"/>
          <w:b/>
          <w:sz w:val="32"/>
          <w:szCs w:val="32"/>
        </w:rPr>
        <w:t xml:space="preserve">条 </w:t>
      </w:r>
      <w:r>
        <w:rPr>
          <w:rFonts w:hint="eastAsia" w:ascii="方正仿宋_GBK" w:hAnsi="方正仿宋_GBK" w:eastAsia="方正仿宋_GBK" w:cs="方正仿宋_GBK"/>
          <w:sz w:val="32"/>
          <w:szCs w:val="32"/>
        </w:rPr>
        <w:t xml:space="preserve"> 本办法自</w:t>
      </w:r>
      <w:r>
        <w:rPr>
          <w:rFonts w:hint="eastAsia" w:ascii="方正仿宋_GBK" w:hAnsi="方正仿宋_GBK" w:eastAsia="方正仿宋_GBK" w:cs="方正仿宋_GBK"/>
          <w:sz w:val="32"/>
          <w:szCs w:val="32"/>
          <w:lang w:eastAsia="zh-CN"/>
        </w:rPr>
        <w:t>印发之</w:t>
      </w:r>
      <w:r>
        <w:rPr>
          <w:rFonts w:hint="eastAsia" w:ascii="方正仿宋_GBK" w:hAnsi="方正仿宋_GBK" w:eastAsia="方正仿宋_GBK" w:cs="方正仿宋_GBK"/>
          <w:sz w:val="32"/>
          <w:szCs w:val="32"/>
        </w:rPr>
        <w:t>日起</w:t>
      </w:r>
      <w:r>
        <w:rPr>
          <w:rFonts w:hint="eastAsia" w:ascii="方正仿宋_GBK" w:hAnsi="方正仿宋_GBK" w:eastAsia="方正仿宋_GBK" w:cs="方正仿宋_GBK"/>
          <w:sz w:val="32"/>
          <w:szCs w:val="32"/>
          <w:lang w:eastAsia="zh-CN"/>
        </w:rPr>
        <w:t>施行</w:t>
      </w:r>
      <w:r>
        <w:rPr>
          <w:rFonts w:hint="eastAsia" w:ascii="方正仿宋_GBK" w:hAnsi="方正仿宋_GBK" w:eastAsia="方正仿宋_GBK" w:cs="方正仿宋_GBK"/>
          <w:sz w:val="32"/>
          <w:szCs w:val="32"/>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方正仿宋_GBK" w:hAnsi="方正仿宋_GBK" w:eastAsia="方正仿宋_GBK" w:cs="方正仿宋_GBK"/>
          <w:kern w:val="0"/>
          <w:sz w:val="32"/>
          <w:szCs w:val="32"/>
          <w:shd w:val="clear" w:color="auto" w:fill="FFFFFF"/>
          <w:lang w:val="en-US" w:eastAsia="zh-CN" w:bidi="ar-SA"/>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p>
    <w:p>
      <w:pPr>
        <w:spacing w:line="560" w:lineRule="exact"/>
        <w:jc w:val="center"/>
        <w:rPr>
          <w:rFonts w:hint="eastAsia" w:ascii="Times New Roman" w:hAnsi="Times New Roman" w:eastAsia="方正小标宋_GBK" w:cs="方正小标宋_GBK"/>
          <w:sz w:val="44"/>
          <w:szCs w:val="44"/>
        </w:rPr>
      </w:pPr>
    </w:p>
    <w:p>
      <w:pPr>
        <w:spacing w:line="560" w:lineRule="exact"/>
        <w:jc w:val="center"/>
        <w:rPr>
          <w:rFonts w:hint="eastAsia" w:ascii="Times New Roman" w:hAnsi="Times New Roman" w:eastAsia="方正小标宋_GBK" w:cs="方正小标宋_GBK"/>
          <w:sz w:val="44"/>
          <w:szCs w:val="44"/>
        </w:rPr>
      </w:pPr>
    </w:p>
    <w:p>
      <w:pPr>
        <w:spacing w:line="56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重庆市司法鉴定机构执业评价量化表</w:t>
      </w:r>
    </w:p>
    <w:p>
      <w:pPr>
        <w:pStyle w:val="2"/>
        <w:numPr>
          <w:numId w:val="0"/>
        </w:numPr>
        <w:ind w:leftChars="0"/>
        <w:rPr>
          <w:rFonts w:hint="eastAsia" w:ascii="Times New Roman" w:hAnsi="Times New Roman" w:eastAsia="方正小标宋_GBK" w:cs="方正小标宋_GBK"/>
          <w:sz w:val="44"/>
          <w:szCs w:val="44"/>
        </w:rPr>
      </w:pPr>
    </w:p>
    <w:p>
      <w:pPr>
        <w:pStyle w:val="2"/>
        <w:numPr>
          <w:ilvl w:val="0"/>
          <w:numId w:val="0"/>
        </w:numPr>
        <w:spacing w:line="540" w:lineRule="exact"/>
        <w:jc w:val="right"/>
        <w:rPr>
          <w:rFonts w:hint="eastAsia"/>
          <w:b w:val="0"/>
          <w:bCs w:val="0"/>
          <w:sz w:val="32"/>
          <w:szCs w:val="32"/>
        </w:rPr>
      </w:pPr>
      <w:r>
        <w:rPr>
          <w:rFonts w:hint="eastAsia"/>
          <w:sz w:val="32"/>
          <w:szCs w:val="32"/>
        </w:rPr>
        <w:t xml:space="preserve"> </w:t>
      </w:r>
      <w:r>
        <w:rPr>
          <w:rFonts w:hint="eastAsia"/>
          <w:b w:val="0"/>
          <w:bCs w:val="0"/>
          <w:sz w:val="32"/>
          <w:szCs w:val="32"/>
        </w:rPr>
        <w:t>填报时间：      年    月    日</w:t>
      </w:r>
    </w:p>
    <w:p>
      <w:pPr>
        <w:rPr>
          <w:rFonts w:hint="eastAsia"/>
        </w:rPr>
      </w:pPr>
      <w:bookmarkStart w:id="0" w:name="_GoBack"/>
      <w:bookmarkEnd w:id="0"/>
    </w:p>
    <w:tbl>
      <w:tblPr>
        <w:tblStyle w:val="13"/>
        <w:tblW w:w="138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31"/>
        <w:gridCol w:w="1105"/>
        <w:gridCol w:w="3062"/>
        <w:gridCol w:w="1994"/>
        <w:gridCol w:w="667"/>
        <w:gridCol w:w="2408"/>
        <w:gridCol w:w="14"/>
        <w:gridCol w:w="922"/>
        <w:gridCol w:w="645"/>
        <w:gridCol w:w="1326"/>
        <w:gridCol w:w="10"/>
        <w:gridCol w:w="1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5" w:hRule="atLeast"/>
          <w:jc w:val="center"/>
        </w:trPr>
        <w:tc>
          <w:tcPr>
            <w:tcW w:w="1736" w:type="dxa"/>
            <w:gridSpan w:val="2"/>
            <w:noWrap w:val="0"/>
            <w:vAlign w:val="center"/>
          </w:tcPr>
          <w:p>
            <w:pPr>
              <w:spacing w:line="56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机构名称</w:t>
            </w:r>
          </w:p>
        </w:tc>
        <w:tc>
          <w:tcPr>
            <w:tcW w:w="3062" w:type="dxa"/>
            <w:noWrap w:val="0"/>
            <w:vAlign w:val="center"/>
          </w:tcPr>
          <w:p>
            <w:pPr>
              <w:spacing w:line="330" w:lineRule="exact"/>
              <w:jc w:val="center"/>
              <w:rPr>
                <w:rFonts w:hint="eastAsia" w:ascii="Times New Roman" w:hAnsi="Times New Roman" w:eastAsia="方正黑体_GBK" w:cs="方正黑体_GBK"/>
                <w:sz w:val="24"/>
                <w:szCs w:val="24"/>
              </w:rPr>
            </w:pPr>
          </w:p>
        </w:tc>
        <w:tc>
          <w:tcPr>
            <w:tcW w:w="2661" w:type="dxa"/>
            <w:gridSpan w:val="2"/>
            <w:noWrap w:val="0"/>
            <w:vAlign w:val="center"/>
          </w:tcPr>
          <w:p>
            <w:pPr>
              <w:spacing w:line="33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业务范围</w:t>
            </w:r>
          </w:p>
        </w:tc>
        <w:tc>
          <w:tcPr>
            <w:tcW w:w="2408" w:type="dxa"/>
            <w:noWrap w:val="0"/>
            <w:vAlign w:val="center"/>
          </w:tcPr>
          <w:p>
            <w:pPr>
              <w:spacing w:line="330" w:lineRule="exact"/>
              <w:jc w:val="center"/>
              <w:rPr>
                <w:rFonts w:hint="eastAsia" w:ascii="Times New Roman" w:hAnsi="Times New Roman" w:eastAsia="方正黑体_GBK" w:cs="方正黑体_GBK"/>
                <w:sz w:val="24"/>
                <w:szCs w:val="24"/>
              </w:rPr>
            </w:pPr>
          </w:p>
        </w:tc>
        <w:tc>
          <w:tcPr>
            <w:tcW w:w="1581" w:type="dxa"/>
            <w:gridSpan w:val="3"/>
            <w:noWrap w:val="0"/>
            <w:vAlign w:val="center"/>
          </w:tcPr>
          <w:p>
            <w:pPr>
              <w:spacing w:line="33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法定代表人</w:t>
            </w:r>
          </w:p>
        </w:tc>
        <w:tc>
          <w:tcPr>
            <w:tcW w:w="2424" w:type="dxa"/>
            <w:gridSpan w:val="3"/>
            <w:noWrap w:val="0"/>
            <w:vAlign w:val="center"/>
          </w:tcPr>
          <w:p>
            <w:pPr>
              <w:spacing w:line="330" w:lineRule="exact"/>
              <w:jc w:val="center"/>
              <w:rPr>
                <w:rFonts w:hint="eastAsia" w:ascii="Times New Roman" w:hAnsi="Times New Roman" w:eastAsia="方正黑体_GBK" w:cs="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5" w:hRule="atLeast"/>
          <w:jc w:val="center"/>
        </w:trPr>
        <w:tc>
          <w:tcPr>
            <w:tcW w:w="1736" w:type="dxa"/>
            <w:gridSpan w:val="2"/>
            <w:noWrap w:val="0"/>
            <w:vAlign w:val="center"/>
          </w:tcPr>
          <w:p>
            <w:pPr>
              <w:spacing w:line="56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许可证号</w:t>
            </w:r>
          </w:p>
        </w:tc>
        <w:tc>
          <w:tcPr>
            <w:tcW w:w="3062" w:type="dxa"/>
            <w:noWrap w:val="0"/>
            <w:vAlign w:val="center"/>
          </w:tcPr>
          <w:p>
            <w:pPr>
              <w:spacing w:line="330" w:lineRule="exact"/>
              <w:jc w:val="center"/>
              <w:rPr>
                <w:rFonts w:hint="eastAsia" w:ascii="Times New Roman" w:hAnsi="Times New Roman" w:eastAsia="方正黑体_GBK" w:cs="方正黑体_GBK"/>
                <w:sz w:val="24"/>
                <w:szCs w:val="24"/>
              </w:rPr>
            </w:pPr>
          </w:p>
        </w:tc>
        <w:tc>
          <w:tcPr>
            <w:tcW w:w="2661" w:type="dxa"/>
            <w:gridSpan w:val="2"/>
            <w:noWrap w:val="0"/>
            <w:vAlign w:val="center"/>
          </w:tcPr>
          <w:p>
            <w:pPr>
              <w:spacing w:line="33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统一社会信用代码</w:t>
            </w:r>
          </w:p>
        </w:tc>
        <w:tc>
          <w:tcPr>
            <w:tcW w:w="2408" w:type="dxa"/>
            <w:noWrap w:val="0"/>
            <w:vAlign w:val="center"/>
          </w:tcPr>
          <w:p>
            <w:pPr>
              <w:spacing w:line="330" w:lineRule="exact"/>
              <w:jc w:val="center"/>
              <w:rPr>
                <w:rFonts w:hint="eastAsia" w:ascii="Times New Roman" w:hAnsi="Times New Roman" w:eastAsia="方正黑体_GBK" w:cs="方正黑体_GBK"/>
                <w:sz w:val="24"/>
                <w:szCs w:val="24"/>
              </w:rPr>
            </w:pPr>
          </w:p>
        </w:tc>
        <w:tc>
          <w:tcPr>
            <w:tcW w:w="1581" w:type="dxa"/>
            <w:gridSpan w:val="3"/>
            <w:noWrap w:val="0"/>
            <w:vAlign w:val="center"/>
          </w:tcPr>
          <w:p>
            <w:pPr>
              <w:spacing w:line="33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执业鉴定人数</w:t>
            </w:r>
          </w:p>
        </w:tc>
        <w:tc>
          <w:tcPr>
            <w:tcW w:w="2424" w:type="dxa"/>
            <w:gridSpan w:val="3"/>
            <w:noWrap w:val="0"/>
            <w:vAlign w:val="center"/>
          </w:tcPr>
          <w:p>
            <w:pPr>
              <w:spacing w:line="330" w:lineRule="exact"/>
              <w:jc w:val="center"/>
              <w:rPr>
                <w:rFonts w:hint="eastAsia" w:ascii="Times New Roman" w:hAnsi="Times New Roman" w:eastAsia="方正黑体_GBK" w:cs="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jc w:val="center"/>
        </w:trPr>
        <w:tc>
          <w:tcPr>
            <w:tcW w:w="1736" w:type="dxa"/>
            <w:gridSpan w:val="2"/>
            <w:noWrap w:val="0"/>
            <w:vAlign w:val="center"/>
          </w:tcPr>
          <w:p>
            <w:pPr>
              <w:spacing w:line="56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机构负责人</w:t>
            </w:r>
          </w:p>
        </w:tc>
        <w:tc>
          <w:tcPr>
            <w:tcW w:w="3062" w:type="dxa"/>
            <w:noWrap w:val="0"/>
            <w:vAlign w:val="center"/>
          </w:tcPr>
          <w:p>
            <w:pPr>
              <w:spacing w:line="330" w:lineRule="exact"/>
              <w:jc w:val="center"/>
              <w:rPr>
                <w:rFonts w:hint="eastAsia" w:ascii="Times New Roman" w:hAnsi="Times New Roman" w:eastAsia="方正黑体_GBK" w:cs="方正黑体_GBK"/>
                <w:sz w:val="24"/>
                <w:szCs w:val="24"/>
              </w:rPr>
            </w:pPr>
          </w:p>
        </w:tc>
        <w:tc>
          <w:tcPr>
            <w:tcW w:w="2661" w:type="dxa"/>
            <w:gridSpan w:val="2"/>
            <w:noWrap w:val="0"/>
            <w:vAlign w:val="center"/>
          </w:tcPr>
          <w:p>
            <w:pPr>
              <w:spacing w:line="33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联系人</w:t>
            </w:r>
          </w:p>
        </w:tc>
        <w:tc>
          <w:tcPr>
            <w:tcW w:w="2408" w:type="dxa"/>
            <w:noWrap w:val="0"/>
            <w:vAlign w:val="center"/>
          </w:tcPr>
          <w:p>
            <w:pPr>
              <w:spacing w:line="330" w:lineRule="exact"/>
              <w:jc w:val="center"/>
              <w:rPr>
                <w:rFonts w:hint="eastAsia" w:ascii="Times New Roman" w:hAnsi="Times New Roman" w:eastAsia="方正黑体_GBK" w:cs="方正黑体_GBK"/>
                <w:sz w:val="24"/>
                <w:szCs w:val="24"/>
              </w:rPr>
            </w:pPr>
          </w:p>
        </w:tc>
        <w:tc>
          <w:tcPr>
            <w:tcW w:w="1581" w:type="dxa"/>
            <w:gridSpan w:val="3"/>
            <w:noWrap w:val="0"/>
            <w:vAlign w:val="center"/>
          </w:tcPr>
          <w:p>
            <w:pPr>
              <w:spacing w:line="33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联系电话</w:t>
            </w:r>
          </w:p>
        </w:tc>
        <w:tc>
          <w:tcPr>
            <w:tcW w:w="2424" w:type="dxa"/>
            <w:gridSpan w:val="3"/>
            <w:noWrap w:val="0"/>
            <w:vAlign w:val="center"/>
          </w:tcPr>
          <w:p>
            <w:pPr>
              <w:spacing w:line="330" w:lineRule="exact"/>
              <w:jc w:val="center"/>
              <w:rPr>
                <w:rFonts w:hint="eastAsia" w:ascii="Times New Roman" w:hAnsi="Times New Roman" w:eastAsia="方正黑体_GBK" w:cs="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1736" w:type="dxa"/>
            <w:gridSpan w:val="2"/>
            <w:noWrap w:val="0"/>
            <w:vAlign w:val="center"/>
          </w:tcPr>
          <w:p>
            <w:pPr>
              <w:spacing w:line="56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评价指标</w:t>
            </w:r>
          </w:p>
        </w:tc>
        <w:tc>
          <w:tcPr>
            <w:tcW w:w="5056" w:type="dxa"/>
            <w:gridSpan w:val="2"/>
            <w:noWrap w:val="0"/>
            <w:vAlign w:val="center"/>
          </w:tcPr>
          <w:p>
            <w:pPr>
              <w:spacing w:line="33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评价内容</w:t>
            </w:r>
          </w:p>
        </w:tc>
        <w:tc>
          <w:tcPr>
            <w:tcW w:w="667" w:type="dxa"/>
            <w:noWrap w:val="0"/>
            <w:vAlign w:val="center"/>
          </w:tcPr>
          <w:p>
            <w:pPr>
              <w:spacing w:line="33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分值</w:t>
            </w:r>
          </w:p>
        </w:tc>
        <w:tc>
          <w:tcPr>
            <w:tcW w:w="2422" w:type="dxa"/>
            <w:gridSpan w:val="2"/>
            <w:noWrap w:val="0"/>
            <w:vAlign w:val="center"/>
          </w:tcPr>
          <w:p>
            <w:pPr>
              <w:spacing w:line="33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机构自评情况</w:t>
            </w:r>
          </w:p>
        </w:tc>
        <w:tc>
          <w:tcPr>
            <w:tcW w:w="922" w:type="dxa"/>
            <w:noWrap w:val="0"/>
            <w:vAlign w:val="center"/>
          </w:tcPr>
          <w:p>
            <w:pPr>
              <w:spacing w:line="33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pacing w:val="-11"/>
                <w:sz w:val="24"/>
                <w:szCs w:val="24"/>
              </w:rPr>
              <w:t>自评得分</w:t>
            </w:r>
          </w:p>
        </w:tc>
        <w:tc>
          <w:tcPr>
            <w:tcW w:w="1981" w:type="dxa"/>
            <w:gridSpan w:val="3"/>
            <w:noWrap w:val="0"/>
            <w:vAlign w:val="center"/>
          </w:tcPr>
          <w:p>
            <w:pPr>
              <w:spacing w:line="33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区县初评情况</w:t>
            </w:r>
          </w:p>
        </w:tc>
        <w:tc>
          <w:tcPr>
            <w:tcW w:w="1088" w:type="dxa"/>
            <w:noWrap w:val="0"/>
            <w:vAlign w:val="center"/>
          </w:tcPr>
          <w:p>
            <w:pPr>
              <w:spacing w:line="56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初评得分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631" w:type="dxa"/>
            <w:vMerge w:val="restart"/>
            <w:noWrap w:val="0"/>
            <w:vAlign w:val="center"/>
          </w:tcPr>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基</w:t>
            </w:r>
          </w:p>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础</w:t>
            </w:r>
          </w:p>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指</w:t>
            </w:r>
          </w:p>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标</w:t>
            </w:r>
          </w:p>
        </w:tc>
        <w:tc>
          <w:tcPr>
            <w:tcW w:w="1105" w:type="dxa"/>
            <w:noWrap w:val="0"/>
            <w:vAlign w:val="center"/>
          </w:tcPr>
          <w:p>
            <w:pPr>
              <w:spacing w:line="560" w:lineRule="exact"/>
              <w:jc w:val="center"/>
              <w:rPr>
                <w:rFonts w:ascii="Times New Roman" w:hAnsi="Times New Roman" w:eastAsia="方正仿宋_GBK"/>
                <w:sz w:val="24"/>
                <w:szCs w:val="24"/>
              </w:rPr>
            </w:pPr>
            <w:r>
              <w:rPr>
                <w:rFonts w:hint="eastAsia" w:ascii="Times New Roman" w:hAnsi="Times New Roman" w:eastAsia="方正仿宋_GBK" w:cs="方正仿宋_GBK"/>
                <w:sz w:val="24"/>
                <w:szCs w:val="24"/>
              </w:rPr>
              <w:t>党建工作</w:t>
            </w:r>
          </w:p>
        </w:tc>
        <w:tc>
          <w:tcPr>
            <w:tcW w:w="5056" w:type="dxa"/>
            <w:gridSpan w:val="2"/>
            <w:noWrap w:val="0"/>
            <w:vAlign w:val="center"/>
          </w:tcPr>
          <w:p>
            <w:pPr>
              <w:spacing w:line="300" w:lineRule="exact"/>
              <w:rPr>
                <w:rFonts w:hint="eastAsia" w:ascii="Times New Roman" w:hAnsi="Times New Roman" w:eastAsia="方正仿宋_GBK"/>
                <w:sz w:val="24"/>
                <w:szCs w:val="24"/>
              </w:rPr>
            </w:pPr>
            <w:r>
              <w:rPr>
                <w:rFonts w:hint="eastAsia" w:ascii="Times New Roman" w:hAnsi="Times New Roman" w:eastAsia="方正仿宋_GBK"/>
                <w:sz w:val="24"/>
                <w:szCs w:val="24"/>
              </w:rPr>
              <w:t>1.应当建立党组织没有建立、或者没有明确党建工作指导员或联络员的，扣8分；</w:t>
            </w:r>
          </w:p>
          <w:p>
            <w:pPr>
              <w:spacing w:line="300" w:lineRule="exact"/>
              <w:rPr>
                <w:rFonts w:hint="eastAsia" w:ascii="Times New Roman" w:hAnsi="Times New Roman" w:eastAsia="方正仿宋_GBK"/>
                <w:sz w:val="24"/>
                <w:szCs w:val="24"/>
              </w:rPr>
            </w:pPr>
            <w:r>
              <w:rPr>
                <w:rFonts w:hint="eastAsia" w:ascii="Times New Roman" w:hAnsi="Times New Roman" w:eastAsia="方正仿宋_GBK"/>
                <w:sz w:val="24"/>
                <w:szCs w:val="24"/>
              </w:rPr>
              <w:t>2.没有落实党建工作进章程、进制度的，扣2分；没有</w:t>
            </w:r>
            <w:r>
              <w:rPr>
                <w:rFonts w:hint="eastAsia" w:ascii="Times New Roman" w:hAnsi="Times New Roman" w:eastAsia="方正仿宋_GBK" w:cs="方正仿宋_GBK"/>
                <w:sz w:val="24"/>
                <w:szCs w:val="24"/>
              </w:rPr>
              <w:t>建立党组织在机构决策、规范管理中发挥作用工作机制的，扣2分；</w:t>
            </w:r>
          </w:p>
          <w:p>
            <w:pPr>
              <w:spacing w:line="300" w:lineRule="exact"/>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3.“三会一课”等</w:t>
            </w:r>
            <w:r>
              <w:rPr>
                <w:rFonts w:hint="eastAsia" w:ascii="Times New Roman" w:hAnsi="Times New Roman" w:eastAsia="方正仿宋_GBK"/>
                <w:sz w:val="24"/>
                <w:szCs w:val="24"/>
              </w:rPr>
              <w:t>党组织生活</w:t>
            </w:r>
            <w:r>
              <w:rPr>
                <w:rFonts w:hint="eastAsia" w:ascii="Times New Roman" w:hAnsi="Times New Roman" w:eastAsia="方正仿宋_GBK" w:cs="方正仿宋_GBK"/>
                <w:sz w:val="24"/>
                <w:szCs w:val="24"/>
              </w:rPr>
              <w:t>未正常开展的，扣2分；</w:t>
            </w:r>
          </w:p>
          <w:p>
            <w:pPr>
              <w:spacing w:line="300" w:lineRule="exact"/>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4.党员管理不到位、造成重大不良影响的，扣2分；</w:t>
            </w:r>
          </w:p>
          <w:p>
            <w:pPr>
              <w:spacing w:line="300" w:lineRule="exact"/>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5其他党的建设工作不健全的，扣1分。</w:t>
            </w:r>
          </w:p>
        </w:tc>
        <w:tc>
          <w:tcPr>
            <w:tcW w:w="667" w:type="dxa"/>
            <w:noWrap w:val="0"/>
            <w:vAlign w:val="center"/>
          </w:tcPr>
          <w:p>
            <w:pPr>
              <w:spacing w:line="33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10</w:t>
            </w:r>
          </w:p>
        </w:tc>
        <w:tc>
          <w:tcPr>
            <w:tcW w:w="2422" w:type="dxa"/>
            <w:gridSpan w:val="2"/>
            <w:noWrap w:val="0"/>
            <w:vAlign w:val="center"/>
          </w:tcPr>
          <w:p>
            <w:pPr>
              <w:spacing w:line="330" w:lineRule="exact"/>
              <w:rPr>
                <w:rFonts w:ascii="Times New Roman" w:hAnsi="Times New Roman" w:eastAsia="方正仿宋_GBK"/>
                <w:sz w:val="24"/>
                <w:szCs w:val="24"/>
              </w:rPr>
            </w:pPr>
          </w:p>
        </w:tc>
        <w:tc>
          <w:tcPr>
            <w:tcW w:w="922" w:type="dxa"/>
            <w:noWrap w:val="0"/>
            <w:vAlign w:val="center"/>
          </w:tcPr>
          <w:p>
            <w:pPr>
              <w:spacing w:line="330" w:lineRule="exact"/>
              <w:rPr>
                <w:rFonts w:ascii="Times New Roman" w:hAnsi="Times New Roman" w:eastAsia="方正仿宋_GBK"/>
                <w:sz w:val="24"/>
                <w:szCs w:val="24"/>
              </w:rPr>
            </w:pPr>
          </w:p>
        </w:tc>
        <w:tc>
          <w:tcPr>
            <w:tcW w:w="1981" w:type="dxa"/>
            <w:gridSpan w:val="3"/>
            <w:noWrap w:val="0"/>
            <w:vAlign w:val="center"/>
          </w:tcPr>
          <w:p>
            <w:pPr>
              <w:spacing w:line="330" w:lineRule="exact"/>
              <w:rPr>
                <w:rFonts w:ascii="Times New Roman" w:hAnsi="Times New Roman" w:eastAsia="方正仿宋_GBK"/>
                <w:sz w:val="24"/>
                <w:szCs w:val="24"/>
              </w:rPr>
            </w:pPr>
          </w:p>
        </w:tc>
        <w:tc>
          <w:tcPr>
            <w:tcW w:w="1088" w:type="dxa"/>
            <w:noWrap w:val="0"/>
            <w:vAlign w:val="center"/>
          </w:tcPr>
          <w:p>
            <w:pPr>
              <w:spacing w:line="560" w:lineRule="exact"/>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631" w:type="dxa"/>
            <w:vMerge w:val="continue"/>
            <w:noWrap w:val="0"/>
            <w:vAlign w:val="center"/>
          </w:tcPr>
          <w:p>
            <w:pPr>
              <w:spacing w:line="560" w:lineRule="exact"/>
              <w:rPr>
                <w:rFonts w:ascii="Times New Roman" w:hAnsi="Times New Roman" w:eastAsia="方正仿宋_GBK"/>
                <w:sz w:val="24"/>
                <w:szCs w:val="24"/>
              </w:rPr>
            </w:pPr>
          </w:p>
        </w:tc>
        <w:tc>
          <w:tcPr>
            <w:tcW w:w="1105" w:type="dxa"/>
            <w:noWrap w:val="0"/>
            <w:vAlign w:val="center"/>
          </w:tcPr>
          <w:p>
            <w:pPr>
              <w:spacing w:line="560" w:lineRule="exact"/>
              <w:jc w:val="center"/>
              <w:rPr>
                <w:rFonts w:ascii="Times New Roman" w:hAnsi="Times New Roman" w:eastAsia="方正仿宋_GBK"/>
                <w:sz w:val="24"/>
                <w:szCs w:val="24"/>
              </w:rPr>
            </w:pPr>
            <w:r>
              <w:rPr>
                <w:rFonts w:hint="eastAsia" w:ascii="Times New Roman" w:hAnsi="Times New Roman" w:eastAsia="方正仿宋_GBK" w:cs="方正仿宋_GBK"/>
                <w:sz w:val="24"/>
                <w:szCs w:val="24"/>
              </w:rPr>
              <w:t>能力资质</w:t>
            </w:r>
          </w:p>
        </w:tc>
        <w:tc>
          <w:tcPr>
            <w:tcW w:w="5056" w:type="dxa"/>
            <w:gridSpan w:val="2"/>
            <w:noWrap w:val="0"/>
            <w:vAlign w:val="center"/>
          </w:tcPr>
          <w:p>
            <w:pPr>
              <w:spacing w:line="300" w:lineRule="exact"/>
              <w:rPr>
                <w:rFonts w:hint="eastAsia" w:ascii="Times New Roman" w:hAnsi="Times New Roman" w:eastAsia="方正仿宋_GBK"/>
                <w:sz w:val="24"/>
                <w:szCs w:val="24"/>
              </w:rPr>
            </w:pPr>
            <w:r>
              <w:rPr>
                <w:rFonts w:hint="eastAsia" w:ascii="Times New Roman" w:hAnsi="Times New Roman" w:eastAsia="方正仿宋_GBK"/>
                <w:sz w:val="24"/>
                <w:szCs w:val="24"/>
              </w:rPr>
              <w:t>1.实际注册资金未达到规定数额的，扣5分；</w:t>
            </w:r>
          </w:p>
          <w:p>
            <w:pPr>
              <w:spacing w:line="300" w:lineRule="exact"/>
              <w:rPr>
                <w:rFonts w:hint="eastAsia" w:ascii="Times New Roman" w:hAnsi="Times New Roman" w:eastAsia="方正仿宋_GBK"/>
                <w:sz w:val="24"/>
                <w:szCs w:val="24"/>
              </w:rPr>
            </w:pPr>
            <w:r>
              <w:rPr>
                <w:rFonts w:hint="eastAsia" w:ascii="Times New Roman" w:hAnsi="Times New Roman" w:eastAsia="方正仿宋_GBK"/>
                <w:sz w:val="24"/>
                <w:szCs w:val="24"/>
              </w:rPr>
              <w:t>2.没有合理划分鉴定委托、保管鉴定材料、实施鉴定活动、存放鉴定档案等区域的，扣5分；</w:t>
            </w:r>
          </w:p>
          <w:p>
            <w:pPr>
              <w:spacing w:line="300" w:lineRule="exact"/>
              <w:rPr>
                <w:rFonts w:hint="eastAsia" w:ascii="Times New Roman" w:hAnsi="Times New Roman" w:eastAsia="方正仿宋_GBK"/>
                <w:sz w:val="24"/>
                <w:szCs w:val="24"/>
              </w:rPr>
            </w:pPr>
            <w:r>
              <w:rPr>
                <w:rFonts w:hint="eastAsia" w:ascii="Times New Roman" w:hAnsi="Times New Roman" w:eastAsia="方正仿宋_GBK"/>
                <w:sz w:val="24"/>
                <w:szCs w:val="24"/>
              </w:rPr>
              <w:t>3.实验室（不需要设置专门实验室的鉴定类别指检查室、工作室、设备保管室等）面积少于70</w:t>
            </w:r>
            <w:r>
              <w:rPr>
                <w:rFonts w:hint="eastAsia" w:ascii="Times New Roman" w:hAnsi="Times New Roman" w:cs="宋体"/>
                <w:sz w:val="24"/>
                <w:szCs w:val="24"/>
              </w:rPr>
              <w:t>㎡</w:t>
            </w:r>
            <w:r>
              <w:rPr>
                <w:rFonts w:hint="eastAsia" w:ascii="Times New Roman" w:hAnsi="Times New Roman" w:eastAsia="方正仿宋_GBK"/>
                <w:sz w:val="24"/>
                <w:szCs w:val="24"/>
              </w:rPr>
              <w:t>的，扣5分，实验室与办公场所没有隔离的，扣5分；</w:t>
            </w:r>
          </w:p>
          <w:p>
            <w:pPr>
              <w:spacing w:line="300" w:lineRule="exact"/>
              <w:rPr>
                <w:rFonts w:hint="eastAsia" w:ascii="Times New Roman" w:hAnsi="Times New Roman" w:eastAsia="方正仿宋_GBK"/>
                <w:sz w:val="24"/>
                <w:szCs w:val="24"/>
              </w:rPr>
            </w:pPr>
            <w:r>
              <w:rPr>
                <w:rFonts w:hint="eastAsia" w:ascii="Times New Roman" w:hAnsi="Times New Roman" w:eastAsia="方正仿宋_GBK"/>
                <w:sz w:val="24"/>
                <w:szCs w:val="24"/>
              </w:rPr>
              <w:t>4.未按照规定配备仪器设备的，扣10分；</w:t>
            </w:r>
          </w:p>
          <w:p>
            <w:pPr>
              <w:spacing w:line="300" w:lineRule="exact"/>
              <w:rPr>
                <w:rFonts w:hint="eastAsia" w:ascii="Times New Roman" w:hAnsi="Times New Roman" w:eastAsia="方正仿宋_GBK"/>
                <w:sz w:val="24"/>
                <w:szCs w:val="24"/>
              </w:rPr>
            </w:pPr>
            <w:r>
              <w:rPr>
                <w:rFonts w:hint="eastAsia" w:ascii="Times New Roman" w:hAnsi="Times New Roman" w:eastAsia="方正仿宋_GBK"/>
                <w:sz w:val="24"/>
                <w:szCs w:val="24"/>
              </w:rPr>
              <w:t>5.未按照规定管理、使用、维护仪器设备的，扣2分；造成严重不良后果的，扣10分；</w:t>
            </w:r>
          </w:p>
          <w:p>
            <w:pPr>
              <w:spacing w:line="300" w:lineRule="exact"/>
              <w:rPr>
                <w:rFonts w:hint="eastAsia" w:ascii="Times New Roman" w:hAnsi="Times New Roman" w:eastAsia="方正仿宋_GBK"/>
                <w:sz w:val="24"/>
                <w:szCs w:val="24"/>
              </w:rPr>
            </w:pPr>
            <w:r>
              <w:rPr>
                <w:rFonts w:hint="eastAsia" w:ascii="Times New Roman" w:hAnsi="Times New Roman" w:eastAsia="方正仿宋_GBK"/>
                <w:sz w:val="24"/>
                <w:szCs w:val="24"/>
              </w:rPr>
              <w:t>6.鉴定档案管理混乱的，扣2分；造成严重后果的，扣10分。</w:t>
            </w:r>
          </w:p>
          <w:p>
            <w:pPr>
              <w:spacing w:line="300" w:lineRule="exact"/>
              <w:rPr>
                <w:rFonts w:hint="eastAsia" w:ascii="Times New Roman" w:hAnsi="Times New Roman" w:eastAsia="方正仿宋_GBK"/>
                <w:sz w:val="24"/>
                <w:szCs w:val="24"/>
              </w:rPr>
            </w:pPr>
            <w:r>
              <w:rPr>
                <w:rFonts w:hint="eastAsia" w:ascii="Times New Roman" w:hAnsi="Times New Roman" w:eastAsia="方正仿宋_GBK"/>
                <w:sz w:val="24"/>
                <w:szCs w:val="24"/>
              </w:rPr>
              <w:t>7.评价周期内未参加或未通过相关业务领域能力验证的，扣10分。</w:t>
            </w:r>
          </w:p>
        </w:tc>
        <w:tc>
          <w:tcPr>
            <w:tcW w:w="667" w:type="dxa"/>
            <w:noWrap w:val="0"/>
            <w:vAlign w:val="center"/>
          </w:tcPr>
          <w:p>
            <w:pPr>
              <w:spacing w:line="33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15</w:t>
            </w:r>
          </w:p>
        </w:tc>
        <w:tc>
          <w:tcPr>
            <w:tcW w:w="2422" w:type="dxa"/>
            <w:gridSpan w:val="2"/>
            <w:noWrap w:val="0"/>
            <w:vAlign w:val="center"/>
          </w:tcPr>
          <w:p>
            <w:pPr>
              <w:spacing w:line="330" w:lineRule="exact"/>
              <w:rPr>
                <w:rFonts w:ascii="Times New Roman" w:hAnsi="Times New Roman" w:eastAsia="方正仿宋_GBK"/>
                <w:sz w:val="24"/>
                <w:szCs w:val="24"/>
              </w:rPr>
            </w:pPr>
          </w:p>
        </w:tc>
        <w:tc>
          <w:tcPr>
            <w:tcW w:w="922" w:type="dxa"/>
            <w:noWrap w:val="0"/>
            <w:vAlign w:val="center"/>
          </w:tcPr>
          <w:p>
            <w:pPr>
              <w:spacing w:line="330" w:lineRule="exact"/>
              <w:rPr>
                <w:rFonts w:ascii="Times New Roman" w:hAnsi="Times New Roman" w:eastAsia="方正仿宋_GBK"/>
                <w:sz w:val="24"/>
                <w:szCs w:val="24"/>
              </w:rPr>
            </w:pPr>
          </w:p>
        </w:tc>
        <w:tc>
          <w:tcPr>
            <w:tcW w:w="1981" w:type="dxa"/>
            <w:gridSpan w:val="3"/>
            <w:noWrap w:val="0"/>
            <w:vAlign w:val="center"/>
          </w:tcPr>
          <w:p>
            <w:pPr>
              <w:spacing w:line="330" w:lineRule="exact"/>
              <w:rPr>
                <w:rFonts w:ascii="Times New Roman" w:hAnsi="Times New Roman" w:eastAsia="方正仿宋_GBK"/>
                <w:sz w:val="24"/>
                <w:szCs w:val="24"/>
              </w:rPr>
            </w:pPr>
          </w:p>
        </w:tc>
        <w:tc>
          <w:tcPr>
            <w:tcW w:w="1088" w:type="dxa"/>
            <w:noWrap w:val="0"/>
            <w:vAlign w:val="center"/>
          </w:tcPr>
          <w:p>
            <w:pPr>
              <w:spacing w:line="560" w:lineRule="exact"/>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631" w:type="dxa"/>
            <w:vMerge w:val="continue"/>
            <w:noWrap w:val="0"/>
            <w:vAlign w:val="center"/>
          </w:tcPr>
          <w:p>
            <w:pPr>
              <w:spacing w:line="560" w:lineRule="exact"/>
              <w:rPr>
                <w:rFonts w:ascii="Times New Roman" w:hAnsi="Times New Roman" w:eastAsia="方正仿宋_GBK"/>
                <w:sz w:val="24"/>
                <w:szCs w:val="24"/>
              </w:rPr>
            </w:pPr>
          </w:p>
        </w:tc>
        <w:tc>
          <w:tcPr>
            <w:tcW w:w="1105" w:type="dxa"/>
            <w:noWrap w:val="0"/>
            <w:vAlign w:val="center"/>
          </w:tcPr>
          <w:p>
            <w:pPr>
              <w:spacing w:line="560" w:lineRule="exact"/>
              <w:jc w:val="center"/>
              <w:rPr>
                <w:rFonts w:ascii="Times New Roman" w:hAnsi="Times New Roman" w:eastAsia="方正仿宋_GBK"/>
                <w:sz w:val="24"/>
                <w:szCs w:val="24"/>
              </w:rPr>
            </w:pPr>
            <w:r>
              <w:rPr>
                <w:rFonts w:hint="eastAsia" w:ascii="Times New Roman" w:hAnsi="Times New Roman" w:eastAsia="方正仿宋_GBK" w:cs="方正仿宋_GBK"/>
                <w:sz w:val="24"/>
                <w:szCs w:val="24"/>
              </w:rPr>
              <w:t>队伍建设</w:t>
            </w:r>
          </w:p>
        </w:tc>
        <w:tc>
          <w:tcPr>
            <w:tcW w:w="5056" w:type="dxa"/>
            <w:gridSpan w:val="2"/>
            <w:noWrap w:val="0"/>
            <w:vAlign w:val="center"/>
          </w:tcPr>
          <w:p>
            <w:pPr>
              <w:spacing w:line="300" w:lineRule="exact"/>
              <w:rPr>
                <w:rFonts w:hint="eastAsia" w:ascii="Times New Roman" w:hAnsi="Times New Roman" w:eastAsia="方正仿宋_GBK"/>
                <w:sz w:val="24"/>
                <w:szCs w:val="24"/>
              </w:rPr>
            </w:pPr>
            <w:r>
              <w:rPr>
                <w:rFonts w:hint="eastAsia" w:ascii="Times New Roman" w:hAnsi="Times New Roman" w:eastAsia="方正仿宋_GBK"/>
                <w:sz w:val="24"/>
                <w:szCs w:val="24"/>
              </w:rPr>
              <w:t>1.</w:t>
            </w:r>
            <w:r>
              <w:rPr>
                <w:rFonts w:hint="eastAsia" w:ascii="Times New Roman" w:hAnsi="Times New Roman" w:eastAsia="方正仿宋_GBK"/>
                <w:spacing w:val="-4"/>
                <w:sz w:val="24"/>
                <w:szCs w:val="24"/>
              </w:rPr>
              <w:t>鉴定领域专职司法鉴定人不足3人的，扣2分；</w:t>
            </w:r>
          </w:p>
          <w:p>
            <w:pPr>
              <w:spacing w:line="300" w:lineRule="exact"/>
              <w:rPr>
                <w:rFonts w:hint="eastAsia" w:ascii="Times New Roman" w:hAnsi="Times New Roman" w:eastAsia="方正仿宋_GBK"/>
                <w:sz w:val="24"/>
                <w:szCs w:val="24"/>
              </w:rPr>
            </w:pPr>
            <w:r>
              <w:rPr>
                <w:rFonts w:hint="eastAsia" w:ascii="Times New Roman" w:hAnsi="Times New Roman" w:eastAsia="方正仿宋_GBK"/>
                <w:sz w:val="24"/>
                <w:szCs w:val="24"/>
              </w:rPr>
              <w:t>2.所属司法鉴定人年度教育培训参训率未达到100%，扣1分；参训率未达到90%的，扣2分；参训率低于80%的，扣3分；未按照司法行政机关要求组织所属司法鉴定人参加调训的，每人次扣1分；</w:t>
            </w:r>
          </w:p>
          <w:p>
            <w:pPr>
              <w:spacing w:line="300" w:lineRule="exact"/>
              <w:rPr>
                <w:rFonts w:hint="eastAsia" w:ascii="Times New Roman" w:hAnsi="Times New Roman" w:eastAsia="方正仿宋_GBK"/>
                <w:sz w:val="24"/>
                <w:szCs w:val="24"/>
              </w:rPr>
            </w:pPr>
            <w:r>
              <w:rPr>
                <w:rFonts w:hint="eastAsia" w:ascii="Times New Roman" w:hAnsi="Times New Roman" w:eastAsia="方正仿宋_GBK"/>
                <w:sz w:val="24"/>
                <w:szCs w:val="24"/>
              </w:rPr>
              <w:t>3.所属司法鉴定人教育培训合格率未达到100%的，扣1分；合格率未达到90%的，扣2分；合格率低于80%的，扣3分；</w:t>
            </w:r>
          </w:p>
          <w:p>
            <w:pPr>
              <w:spacing w:line="300" w:lineRule="exact"/>
              <w:rPr>
                <w:rFonts w:hint="eastAsia" w:ascii="Times New Roman" w:hAnsi="Times New Roman" w:eastAsia="方正仿宋_GBK"/>
                <w:sz w:val="24"/>
                <w:szCs w:val="24"/>
              </w:rPr>
            </w:pPr>
            <w:r>
              <w:rPr>
                <w:rFonts w:hint="eastAsia" w:ascii="Times New Roman" w:hAnsi="Times New Roman" w:eastAsia="方正仿宋_GBK"/>
                <w:sz w:val="24"/>
                <w:szCs w:val="24"/>
              </w:rPr>
              <w:t>4.所属司法鉴定人受到行政处理或行业处分的，每次扣1分；被处以警告行政处罚的，每次扣2分；被处以暂停执业行政处罚的，每次扣3分；</w:t>
            </w:r>
          </w:p>
          <w:p>
            <w:pPr>
              <w:spacing w:line="300" w:lineRule="exact"/>
              <w:rPr>
                <w:rFonts w:hint="eastAsia" w:ascii="Times New Roman" w:hAnsi="Times New Roman" w:eastAsia="方正仿宋_GBK"/>
                <w:sz w:val="24"/>
                <w:szCs w:val="24"/>
              </w:rPr>
            </w:pPr>
            <w:r>
              <w:rPr>
                <w:rFonts w:hint="eastAsia" w:ascii="Times New Roman" w:hAnsi="Times New Roman" w:eastAsia="方正仿宋_GBK"/>
                <w:sz w:val="24"/>
                <w:szCs w:val="24"/>
              </w:rPr>
              <w:t>5.所属司法鉴定人执业评价合格率未达到100%，扣1分；合格率未达到90%的，扣2分；合格率低于80%的，扣3分。</w:t>
            </w:r>
          </w:p>
        </w:tc>
        <w:tc>
          <w:tcPr>
            <w:tcW w:w="667" w:type="dxa"/>
            <w:noWrap w:val="0"/>
            <w:vAlign w:val="center"/>
          </w:tcPr>
          <w:p>
            <w:pPr>
              <w:spacing w:line="33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10</w:t>
            </w:r>
          </w:p>
        </w:tc>
        <w:tc>
          <w:tcPr>
            <w:tcW w:w="2422" w:type="dxa"/>
            <w:gridSpan w:val="2"/>
            <w:noWrap w:val="0"/>
            <w:vAlign w:val="center"/>
          </w:tcPr>
          <w:p>
            <w:pPr>
              <w:spacing w:line="330" w:lineRule="exact"/>
              <w:rPr>
                <w:rFonts w:ascii="Times New Roman" w:hAnsi="Times New Roman" w:eastAsia="方正仿宋_GBK"/>
                <w:sz w:val="24"/>
                <w:szCs w:val="24"/>
              </w:rPr>
            </w:pPr>
          </w:p>
        </w:tc>
        <w:tc>
          <w:tcPr>
            <w:tcW w:w="922" w:type="dxa"/>
            <w:noWrap w:val="0"/>
            <w:vAlign w:val="center"/>
          </w:tcPr>
          <w:p>
            <w:pPr>
              <w:spacing w:line="330" w:lineRule="exact"/>
              <w:rPr>
                <w:rFonts w:ascii="Times New Roman" w:hAnsi="Times New Roman" w:eastAsia="方正仿宋_GBK"/>
                <w:sz w:val="24"/>
                <w:szCs w:val="24"/>
              </w:rPr>
            </w:pPr>
          </w:p>
        </w:tc>
        <w:tc>
          <w:tcPr>
            <w:tcW w:w="1971" w:type="dxa"/>
            <w:gridSpan w:val="2"/>
            <w:noWrap w:val="0"/>
            <w:vAlign w:val="center"/>
          </w:tcPr>
          <w:p>
            <w:pPr>
              <w:spacing w:line="330" w:lineRule="exact"/>
              <w:rPr>
                <w:rFonts w:ascii="Times New Roman" w:hAnsi="Times New Roman" w:eastAsia="方正仿宋_GBK"/>
                <w:sz w:val="24"/>
                <w:szCs w:val="24"/>
              </w:rPr>
            </w:pPr>
          </w:p>
        </w:tc>
        <w:tc>
          <w:tcPr>
            <w:tcW w:w="1098" w:type="dxa"/>
            <w:gridSpan w:val="2"/>
            <w:noWrap w:val="0"/>
            <w:vAlign w:val="center"/>
          </w:tcPr>
          <w:p>
            <w:pPr>
              <w:spacing w:line="560" w:lineRule="exact"/>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5" w:hRule="atLeast"/>
          <w:jc w:val="center"/>
        </w:trPr>
        <w:tc>
          <w:tcPr>
            <w:tcW w:w="631" w:type="dxa"/>
            <w:vMerge w:val="continue"/>
            <w:noWrap w:val="0"/>
            <w:vAlign w:val="center"/>
          </w:tcPr>
          <w:p>
            <w:pPr>
              <w:spacing w:line="560" w:lineRule="exact"/>
              <w:rPr>
                <w:rFonts w:ascii="Times New Roman" w:hAnsi="Times New Roman" w:eastAsia="方正仿宋_GBK"/>
                <w:sz w:val="24"/>
                <w:szCs w:val="24"/>
              </w:rPr>
            </w:pPr>
          </w:p>
        </w:tc>
        <w:tc>
          <w:tcPr>
            <w:tcW w:w="1105" w:type="dxa"/>
            <w:noWrap w:val="0"/>
            <w:vAlign w:val="center"/>
          </w:tcPr>
          <w:p>
            <w:pPr>
              <w:spacing w:line="560" w:lineRule="exact"/>
              <w:jc w:val="center"/>
              <w:rPr>
                <w:rFonts w:ascii="Times New Roman" w:hAnsi="Times New Roman" w:eastAsia="方正仿宋_GBK"/>
                <w:sz w:val="24"/>
                <w:szCs w:val="24"/>
              </w:rPr>
            </w:pPr>
            <w:r>
              <w:rPr>
                <w:rFonts w:hint="eastAsia" w:ascii="Times New Roman" w:hAnsi="Times New Roman" w:eastAsia="方正仿宋_GBK" w:cs="方正仿宋_GBK"/>
                <w:sz w:val="24"/>
                <w:szCs w:val="24"/>
              </w:rPr>
              <w:t>内部管理</w:t>
            </w:r>
          </w:p>
        </w:tc>
        <w:tc>
          <w:tcPr>
            <w:tcW w:w="5056" w:type="dxa"/>
            <w:gridSpan w:val="2"/>
            <w:noWrap w:val="0"/>
            <w:vAlign w:val="center"/>
          </w:tcPr>
          <w:p>
            <w:pPr>
              <w:spacing w:line="300" w:lineRule="exact"/>
              <w:rPr>
                <w:rFonts w:hint="eastAsia" w:ascii="Times New Roman" w:hAnsi="Times New Roman" w:eastAsia="方正仿宋_GBK"/>
                <w:sz w:val="24"/>
                <w:szCs w:val="24"/>
              </w:rPr>
            </w:pPr>
            <w:r>
              <w:rPr>
                <w:rFonts w:hint="eastAsia" w:ascii="Times New Roman" w:hAnsi="Times New Roman" w:eastAsia="方正仿宋_GBK"/>
                <w:sz w:val="24"/>
                <w:szCs w:val="24"/>
              </w:rPr>
              <w:t>1.未按照司法部《司法鉴定机构内部管理规范》建立完善管理制度的，每缺1项扣1分；制度落实不到位的，每项扣2分；</w:t>
            </w:r>
          </w:p>
          <w:p>
            <w:pPr>
              <w:spacing w:line="300" w:lineRule="exact"/>
              <w:rPr>
                <w:rFonts w:hint="eastAsia" w:ascii="Times New Roman" w:hAnsi="Times New Roman" w:eastAsia="方正仿宋_GBK"/>
                <w:sz w:val="24"/>
                <w:szCs w:val="24"/>
              </w:rPr>
            </w:pPr>
            <w:r>
              <w:rPr>
                <w:rFonts w:hint="eastAsia" w:ascii="Times New Roman" w:hAnsi="Times New Roman" w:eastAsia="方正仿宋_GBK"/>
                <w:sz w:val="24"/>
                <w:szCs w:val="24"/>
              </w:rPr>
              <w:t>2.拒不配合司法行政机关办理信访投诉的，每件次扣2分；</w:t>
            </w:r>
          </w:p>
          <w:p>
            <w:pPr>
              <w:spacing w:line="300" w:lineRule="exact"/>
              <w:rPr>
                <w:rFonts w:hint="eastAsia" w:ascii="Times New Roman" w:hAnsi="Times New Roman" w:eastAsia="方正仿宋_GBK"/>
                <w:sz w:val="24"/>
                <w:szCs w:val="24"/>
              </w:rPr>
            </w:pPr>
            <w:r>
              <w:rPr>
                <w:rFonts w:hint="eastAsia" w:ascii="Times New Roman" w:hAnsi="Times New Roman" w:eastAsia="方正仿宋_GBK"/>
                <w:sz w:val="24"/>
                <w:szCs w:val="24"/>
              </w:rPr>
              <w:t>3.未按照规定办理机构及其司法鉴定人的变更、延续、注销登记的，每次扣1分；</w:t>
            </w:r>
          </w:p>
          <w:p>
            <w:pPr>
              <w:spacing w:line="300" w:lineRule="exact"/>
              <w:rPr>
                <w:rFonts w:hint="eastAsia" w:ascii="Times New Roman" w:hAnsi="Times New Roman" w:eastAsia="方正仿宋_GBK"/>
                <w:sz w:val="24"/>
                <w:szCs w:val="24"/>
              </w:rPr>
            </w:pPr>
            <w:r>
              <w:rPr>
                <w:rFonts w:hint="eastAsia" w:ascii="Times New Roman" w:hAnsi="Times New Roman" w:eastAsia="方正仿宋_GBK"/>
                <w:sz w:val="24"/>
                <w:szCs w:val="24"/>
              </w:rPr>
              <w:t>4.未按照要求公示司法鉴定机构、司法鉴定人、收费标准、鉴定流程、监督电话等相关信息的，每缺1项扣1分。</w:t>
            </w:r>
          </w:p>
        </w:tc>
        <w:tc>
          <w:tcPr>
            <w:tcW w:w="667" w:type="dxa"/>
            <w:noWrap w:val="0"/>
            <w:vAlign w:val="center"/>
          </w:tcPr>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15</w:t>
            </w:r>
          </w:p>
        </w:tc>
        <w:tc>
          <w:tcPr>
            <w:tcW w:w="2422" w:type="dxa"/>
            <w:gridSpan w:val="2"/>
            <w:noWrap w:val="0"/>
            <w:vAlign w:val="center"/>
          </w:tcPr>
          <w:p>
            <w:pPr>
              <w:spacing w:line="560" w:lineRule="exact"/>
              <w:jc w:val="center"/>
              <w:rPr>
                <w:rFonts w:hint="eastAsia" w:ascii="Times New Roman" w:hAnsi="Times New Roman" w:eastAsia="方正仿宋_GBK"/>
                <w:sz w:val="24"/>
                <w:szCs w:val="24"/>
              </w:rPr>
            </w:pPr>
          </w:p>
        </w:tc>
        <w:tc>
          <w:tcPr>
            <w:tcW w:w="922" w:type="dxa"/>
            <w:noWrap w:val="0"/>
            <w:vAlign w:val="center"/>
          </w:tcPr>
          <w:p>
            <w:pPr>
              <w:spacing w:line="560" w:lineRule="exact"/>
              <w:rPr>
                <w:rFonts w:ascii="Times New Roman" w:hAnsi="Times New Roman" w:eastAsia="方正仿宋_GBK"/>
                <w:sz w:val="24"/>
                <w:szCs w:val="24"/>
              </w:rPr>
            </w:pPr>
          </w:p>
        </w:tc>
        <w:tc>
          <w:tcPr>
            <w:tcW w:w="1971" w:type="dxa"/>
            <w:gridSpan w:val="2"/>
            <w:noWrap w:val="0"/>
            <w:vAlign w:val="center"/>
          </w:tcPr>
          <w:p>
            <w:pPr>
              <w:spacing w:line="560" w:lineRule="exact"/>
              <w:rPr>
                <w:rFonts w:ascii="Times New Roman" w:hAnsi="Times New Roman" w:eastAsia="方正仿宋_GBK"/>
                <w:sz w:val="24"/>
                <w:szCs w:val="24"/>
              </w:rPr>
            </w:pPr>
          </w:p>
        </w:tc>
        <w:tc>
          <w:tcPr>
            <w:tcW w:w="1098" w:type="dxa"/>
            <w:gridSpan w:val="2"/>
            <w:noWrap w:val="0"/>
            <w:vAlign w:val="center"/>
          </w:tcPr>
          <w:p>
            <w:pPr>
              <w:spacing w:line="560" w:lineRule="exact"/>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5" w:hRule="atLeast"/>
          <w:jc w:val="center"/>
        </w:trPr>
        <w:tc>
          <w:tcPr>
            <w:tcW w:w="631" w:type="dxa"/>
            <w:vMerge w:val="continue"/>
            <w:noWrap w:val="0"/>
            <w:vAlign w:val="center"/>
          </w:tcPr>
          <w:p>
            <w:pPr>
              <w:spacing w:line="560" w:lineRule="exact"/>
              <w:rPr>
                <w:rFonts w:ascii="Times New Roman" w:hAnsi="Times New Roman" w:eastAsia="方正仿宋_GBK"/>
                <w:sz w:val="24"/>
                <w:szCs w:val="24"/>
              </w:rPr>
            </w:pPr>
          </w:p>
        </w:tc>
        <w:tc>
          <w:tcPr>
            <w:tcW w:w="1105" w:type="dxa"/>
            <w:noWrap w:val="0"/>
            <w:vAlign w:val="center"/>
          </w:tcPr>
          <w:p>
            <w:pPr>
              <w:spacing w:line="56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执业情况</w:t>
            </w:r>
          </w:p>
        </w:tc>
        <w:tc>
          <w:tcPr>
            <w:tcW w:w="5056" w:type="dxa"/>
            <w:gridSpan w:val="2"/>
            <w:noWrap w:val="0"/>
            <w:vAlign w:val="center"/>
          </w:tcPr>
          <w:p>
            <w:pPr>
              <w:spacing w:line="300" w:lineRule="exact"/>
              <w:rPr>
                <w:rFonts w:hint="eastAsia" w:ascii="Times New Roman" w:hAnsi="Times New Roman" w:eastAsia="方正仿宋_GBK"/>
                <w:sz w:val="24"/>
                <w:szCs w:val="24"/>
              </w:rPr>
            </w:pPr>
            <w:r>
              <w:rPr>
                <w:rFonts w:hint="eastAsia" w:ascii="Times New Roman" w:hAnsi="Times New Roman" w:eastAsia="方正仿宋_GBK"/>
                <w:sz w:val="24"/>
                <w:szCs w:val="24"/>
              </w:rPr>
              <w:t>1.评价周期内业务量为0的，扣5分；</w:t>
            </w:r>
          </w:p>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2.有以下情形，受到行政处理或行业处分的，每次扣2分；被处以警告行政处罚的，每次扣3分；被处以暂停执业六个月以下行政处罚的，每次扣5分：</w:t>
            </w:r>
          </w:p>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（1）超出登记的鉴定业务范围执业的；</w:t>
            </w:r>
          </w:p>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（2）出借、出租或转让《司法鉴定许可证》的；</w:t>
            </w:r>
          </w:p>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（3）组织未取得《司法鉴定人执业证》的人员从事司法鉴定业务或组织的司法鉴定人超出执业类别的；</w:t>
            </w:r>
          </w:p>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（4）违法拒绝司法鉴定委托或不按规定承担司法鉴定援助的；</w:t>
            </w:r>
          </w:p>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（5）违反鉴定收费办法和标准的；</w:t>
            </w:r>
          </w:p>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（6）违规设点的；</w:t>
            </w:r>
          </w:p>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（7）支付回扣、介绍费，进行虚假宣传等不正当行为的；</w:t>
            </w:r>
          </w:p>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（8）与“司法黄牛”串通办理鉴定业务的；</w:t>
            </w:r>
          </w:p>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（9）拒绝接受司法行政机关监督、检查或者提供虚假材料的；</w:t>
            </w:r>
          </w:p>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（10）违反法律、法规、规章规定的其它情形的。</w:t>
            </w:r>
          </w:p>
        </w:tc>
        <w:tc>
          <w:tcPr>
            <w:tcW w:w="667" w:type="dxa"/>
            <w:noWrap w:val="0"/>
            <w:vAlign w:val="center"/>
          </w:tcPr>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30</w:t>
            </w:r>
          </w:p>
        </w:tc>
        <w:tc>
          <w:tcPr>
            <w:tcW w:w="2422" w:type="dxa"/>
            <w:gridSpan w:val="2"/>
            <w:noWrap w:val="0"/>
            <w:vAlign w:val="center"/>
          </w:tcPr>
          <w:p>
            <w:pPr>
              <w:spacing w:line="560" w:lineRule="exact"/>
              <w:jc w:val="center"/>
              <w:rPr>
                <w:rFonts w:hint="eastAsia" w:ascii="Times New Roman" w:hAnsi="Times New Roman" w:eastAsia="方正仿宋_GBK"/>
                <w:sz w:val="24"/>
                <w:szCs w:val="24"/>
              </w:rPr>
            </w:pPr>
          </w:p>
        </w:tc>
        <w:tc>
          <w:tcPr>
            <w:tcW w:w="922" w:type="dxa"/>
            <w:noWrap w:val="0"/>
            <w:vAlign w:val="center"/>
          </w:tcPr>
          <w:p>
            <w:pPr>
              <w:spacing w:line="560" w:lineRule="exact"/>
              <w:rPr>
                <w:rFonts w:ascii="Times New Roman" w:hAnsi="Times New Roman" w:eastAsia="方正仿宋_GBK"/>
                <w:sz w:val="24"/>
                <w:szCs w:val="24"/>
              </w:rPr>
            </w:pPr>
          </w:p>
        </w:tc>
        <w:tc>
          <w:tcPr>
            <w:tcW w:w="1971" w:type="dxa"/>
            <w:gridSpan w:val="2"/>
            <w:noWrap w:val="0"/>
            <w:vAlign w:val="center"/>
          </w:tcPr>
          <w:p>
            <w:pPr>
              <w:spacing w:line="560" w:lineRule="exact"/>
              <w:rPr>
                <w:rFonts w:ascii="Times New Roman" w:hAnsi="Times New Roman" w:eastAsia="方正仿宋_GBK"/>
                <w:sz w:val="24"/>
                <w:szCs w:val="24"/>
              </w:rPr>
            </w:pPr>
          </w:p>
        </w:tc>
        <w:tc>
          <w:tcPr>
            <w:tcW w:w="1098" w:type="dxa"/>
            <w:gridSpan w:val="2"/>
            <w:noWrap w:val="0"/>
            <w:vAlign w:val="center"/>
          </w:tcPr>
          <w:p>
            <w:pPr>
              <w:spacing w:line="560" w:lineRule="exact"/>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5" w:hRule="atLeast"/>
          <w:jc w:val="center"/>
        </w:trPr>
        <w:tc>
          <w:tcPr>
            <w:tcW w:w="631" w:type="dxa"/>
            <w:vMerge w:val="restart"/>
            <w:noWrap w:val="0"/>
            <w:vAlign w:val="center"/>
          </w:tcPr>
          <w:p>
            <w:pPr>
              <w:spacing w:line="560" w:lineRule="exact"/>
              <w:rPr>
                <w:rFonts w:ascii="Times New Roman" w:hAnsi="Times New Roman" w:eastAsia="方正仿宋_GBK"/>
                <w:sz w:val="24"/>
                <w:szCs w:val="24"/>
              </w:rPr>
            </w:pPr>
          </w:p>
        </w:tc>
        <w:tc>
          <w:tcPr>
            <w:tcW w:w="1105" w:type="dxa"/>
            <w:noWrap w:val="0"/>
            <w:vAlign w:val="center"/>
          </w:tcPr>
          <w:p>
            <w:pPr>
              <w:spacing w:line="56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其他</w:t>
            </w:r>
          </w:p>
        </w:tc>
        <w:tc>
          <w:tcPr>
            <w:tcW w:w="5056" w:type="dxa"/>
            <w:gridSpan w:val="2"/>
            <w:noWrap w:val="0"/>
            <w:vAlign w:val="center"/>
          </w:tcPr>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1.不积极参加司法鉴定行业专项活动，未完成目标任务的，扣5分；</w:t>
            </w:r>
          </w:p>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2.无正当理由，拒不参加司法行政机关组织的公益活动的，每次扣1分；</w:t>
            </w:r>
          </w:p>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3.办理重大敏感鉴定事项，不按照规定报告司法行政机关的，每次扣1分；造成重大不良影响的，每次扣3分；</w:t>
            </w:r>
          </w:p>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4.“重庆司法鉴定服务管理系统”信息录入不完整的，扣3分；</w:t>
            </w:r>
          </w:p>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5.“重庆司法鉴定服务管理系统”案件信息年度录入率未达到100%的，扣1分；年度录入率未达到90%的，扣2分；年度录入率未达到80%的，扣3分；年度录入率未达到70%的，扣4分；年度录入率低于60%的，扣5分；</w:t>
            </w:r>
          </w:p>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6.未按照要求报送案例、统计报表及相关材料的，每次扣1分；没有报送的，每次扣2分。</w:t>
            </w:r>
          </w:p>
        </w:tc>
        <w:tc>
          <w:tcPr>
            <w:tcW w:w="667" w:type="dxa"/>
            <w:noWrap w:val="0"/>
            <w:vAlign w:val="center"/>
          </w:tcPr>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10</w:t>
            </w:r>
          </w:p>
        </w:tc>
        <w:tc>
          <w:tcPr>
            <w:tcW w:w="2422" w:type="dxa"/>
            <w:gridSpan w:val="2"/>
            <w:noWrap w:val="0"/>
            <w:vAlign w:val="center"/>
          </w:tcPr>
          <w:p>
            <w:pPr>
              <w:spacing w:line="560" w:lineRule="exact"/>
              <w:rPr>
                <w:rFonts w:ascii="Times New Roman" w:hAnsi="Times New Roman" w:eastAsia="方正仿宋_GBK"/>
                <w:sz w:val="24"/>
                <w:szCs w:val="24"/>
              </w:rPr>
            </w:pPr>
          </w:p>
        </w:tc>
        <w:tc>
          <w:tcPr>
            <w:tcW w:w="922" w:type="dxa"/>
            <w:noWrap w:val="0"/>
            <w:vAlign w:val="center"/>
          </w:tcPr>
          <w:p>
            <w:pPr>
              <w:spacing w:line="560" w:lineRule="exact"/>
              <w:rPr>
                <w:rFonts w:ascii="Times New Roman" w:hAnsi="Times New Roman" w:eastAsia="方正仿宋_GBK"/>
                <w:sz w:val="24"/>
                <w:szCs w:val="24"/>
              </w:rPr>
            </w:pPr>
          </w:p>
        </w:tc>
        <w:tc>
          <w:tcPr>
            <w:tcW w:w="1971" w:type="dxa"/>
            <w:gridSpan w:val="2"/>
            <w:noWrap w:val="0"/>
            <w:vAlign w:val="center"/>
          </w:tcPr>
          <w:p>
            <w:pPr>
              <w:spacing w:line="560" w:lineRule="exact"/>
              <w:rPr>
                <w:rFonts w:ascii="Times New Roman" w:hAnsi="Times New Roman" w:eastAsia="方正仿宋_GBK"/>
                <w:sz w:val="24"/>
                <w:szCs w:val="24"/>
              </w:rPr>
            </w:pPr>
          </w:p>
        </w:tc>
        <w:tc>
          <w:tcPr>
            <w:tcW w:w="1098" w:type="dxa"/>
            <w:gridSpan w:val="2"/>
            <w:noWrap w:val="0"/>
            <w:vAlign w:val="center"/>
          </w:tcPr>
          <w:p>
            <w:pPr>
              <w:spacing w:line="560" w:lineRule="exact"/>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1736" w:type="dxa"/>
            <w:gridSpan w:val="2"/>
            <w:noWrap w:val="0"/>
            <w:vAlign w:val="center"/>
          </w:tcPr>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加</w:t>
            </w:r>
          </w:p>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分</w:t>
            </w:r>
          </w:p>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指</w:t>
            </w:r>
          </w:p>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标</w:t>
            </w:r>
          </w:p>
        </w:tc>
        <w:tc>
          <w:tcPr>
            <w:tcW w:w="5056" w:type="dxa"/>
            <w:gridSpan w:val="2"/>
            <w:noWrap w:val="0"/>
            <w:vAlign w:val="center"/>
          </w:tcPr>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1.参加司法部组织的活动获得优秀奖的，每个加1分；获得三等奖的，每个加2分；获得二等奖的，每个加3分；获得一等奖的，每个加5分；</w:t>
            </w:r>
          </w:p>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2.与司法鉴定相关的科研成果获得省部级科研成果奖的，加5分；获得国家级科研成果奖的，加10分；</w:t>
            </w:r>
          </w:p>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3.完成市司法局交办的科研任务的，每次加2分；完成司法部交办的科研任务的，每次加5分；</w:t>
            </w:r>
          </w:p>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4.编写的司法鉴定案例被最高法、最高检、司法部以及其他国家部委编入典型案例库的，每个加2分；</w:t>
            </w:r>
          </w:p>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5.自建实验室入选省部级重点实验室名录的，加2分；入选国家级重点实验室名录的，加5分；</w:t>
            </w:r>
          </w:p>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6.通过国家级资质认定、CNAS实验室认可的，加5分；</w:t>
            </w:r>
          </w:p>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7.机构场地系自购的，加5分；</w:t>
            </w:r>
          </w:p>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8.试点引入法律顾问制度的，加2分；</w:t>
            </w:r>
          </w:p>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9.办理司法鉴定援助案件的，每例加2分；</w:t>
            </w:r>
          </w:p>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10.被省部级主要媒体正面报道的，每次加2分；被国家级主要媒体正面报道的，每次加5分；</w:t>
            </w:r>
          </w:p>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11.所属司法鉴定人在一般专业期刊发表司法鉴定论文的，每篇加1分；在中文核心专业期刊发表司法鉴定论文的，每篇加2分；出版与司法鉴定业务相关的专业著作的，每本加3分；参与司法鉴定教材编写的，每本加5分；</w:t>
            </w:r>
          </w:p>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12.所属司法鉴定人参与12348驻场法律服务的，每人加1分；</w:t>
            </w:r>
          </w:p>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13.被区县党委命名为“党建示范点”的，加2分；</w:t>
            </w:r>
          </w:p>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14.参与承办全国性司法鉴定学术研讨会的，每次加2分；</w:t>
            </w:r>
          </w:p>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15.参与乡村振兴，免费提供司法鉴定咨询服务的，加2分；</w:t>
            </w:r>
          </w:p>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16.所属司法鉴定人获得区县司法局表彰奖励的，加1分；获得区县党委政府、市司法局表彰奖励的，加2分；获得省部级表彰奖励的，加3分；获得国家级表彰奖励的，加5分；</w:t>
            </w:r>
          </w:p>
          <w:p>
            <w:pPr>
              <w:spacing w:line="280" w:lineRule="exact"/>
              <w:rPr>
                <w:rFonts w:hint="eastAsia" w:ascii="Times New Roman" w:hAnsi="Times New Roman" w:eastAsia="方正仿宋_GBK"/>
                <w:sz w:val="24"/>
                <w:szCs w:val="24"/>
              </w:rPr>
            </w:pPr>
            <w:r>
              <w:rPr>
                <w:rFonts w:hint="eastAsia" w:ascii="Times New Roman" w:hAnsi="Times New Roman" w:eastAsia="方正仿宋_GBK"/>
                <w:sz w:val="24"/>
                <w:szCs w:val="24"/>
              </w:rPr>
              <w:t>17.机构获得区县司法局表彰奖励的，加2分；获得区县党委政府、市司法局表彰奖励的，加3分；获得省部级表彰奖励的，加6分；获得国家级表彰奖励的，加10分。</w:t>
            </w:r>
          </w:p>
        </w:tc>
        <w:tc>
          <w:tcPr>
            <w:tcW w:w="667" w:type="dxa"/>
            <w:noWrap w:val="0"/>
            <w:vAlign w:val="center"/>
          </w:tcPr>
          <w:p>
            <w:pPr>
              <w:spacing w:line="5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10</w:t>
            </w:r>
          </w:p>
        </w:tc>
        <w:tc>
          <w:tcPr>
            <w:tcW w:w="2422" w:type="dxa"/>
            <w:gridSpan w:val="2"/>
            <w:noWrap w:val="0"/>
            <w:vAlign w:val="center"/>
          </w:tcPr>
          <w:p>
            <w:pPr>
              <w:spacing w:line="560" w:lineRule="exact"/>
              <w:rPr>
                <w:rFonts w:ascii="Times New Roman" w:hAnsi="Times New Roman" w:eastAsia="方正仿宋_GBK"/>
                <w:sz w:val="24"/>
                <w:szCs w:val="24"/>
              </w:rPr>
            </w:pPr>
          </w:p>
        </w:tc>
        <w:tc>
          <w:tcPr>
            <w:tcW w:w="922" w:type="dxa"/>
            <w:noWrap w:val="0"/>
            <w:vAlign w:val="center"/>
          </w:tcPr>
          <w:p>
            <w:pPr>
              <w:spacing w:line="560" w:lineRule="exact"/>
              <w:rPr>
                <w:rFonts w:ascii="Times New Roman" w:hAnsi="Times New Roman" w:eastAsia="方正仿宋_GBK"/>
                <w:sz w:val="24"/>
                <w:szCs w:val="24"/>
              </w:rPr>
            </w:pPr>
          </w:p>
        </w:tc>
        <w:tc>
          <w:tcPr>
            <w:tcW w:w="1971" w:type="dxa"/>
            <w:gridSpan w:val="2"/>
            <w:noWrap w:val="0"/>
            <w:vAlign w:val="center"/>
          </w:tcPr>
          <w:p>
            <w:pPr>
              <w:spacing w:line="560" w:lineRule="exact"/>
              <w:rPr>
                <w:rFonts w:ascii="Times New Roman" w:hAnsi="Times New Roman" w:eastAsia="方正仿宋_GBK"/>
                <w:sz w:val="24"/>
                <w:szCs w:val="24"/>
              </w:rPr>
            </w:pPr>
          </w:p>
        </w:tc>
        <w:tc>
          <w:tcPr>
            <w:tcW w:w="1098" w:type="dxa"/>
            <w:gridSpan w:val="2"/>
            <w:noWrap w:val="0"/>
            <w:vAlign w:val="center"/>
          </w:tcPr>
          <w:p>
            <w:pPr>
              <w:spacing w:line="560" w:lineRule="exact"/>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5" w:hRule="atLeast"/>
          <w:jc w:val="center"/>
        </w:trPr>
        <w:tc>
          <w:tcPr>
            <w:tcW w:w="6792" w:type="dxa"/>
            <w:gridSpan w:val="4"/>
            <w:noWrap w:val="0"/>
            <w:vAlign w:val="center"/>
          </w:tcPr>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合计</w:t>
            </w:r>
          </w:p>
        </w:tc>
        <w:tc>
          <w:tcPr>
            <w:tcW w:w="667" w:type="dxa"/>
            <w:noWrap w:val="0"/>
            <w:vAlign w:val="center"/>
          </w:tcPr>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100</w:t>
            </w:r>
          </w:p>
        </w:tc>
        <w:tc>
          <w:tcPr>
            <w:tcW w:w="2422" w:type="dxa"/>
            <w:gridSpan w:val="2"/>
            <w:noWrap w:val="0"/>
            <w:vAlign w:val="center"/>
          </w:tcPr>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自评分</w:t>
            </w:r>
          </w:p>
        </w:tc>
        <w:tc>
          <w:tcPr>
            <w:tcW w:w="922" w:type="dxa"/>
            <w:noWrap w:val="0"/>
            <w:vAlign w:val="center"/>
          </w:tcPr>
          <w:p>
            <w:pPr>
              <w:spacing w:line="560" w:lineRule="exact"/>
              <w:rPr>
                <w:rFonts w:ascii="Times New Roman" w:hAnsi="Times New Roman" w:eastAsia="方正仿宋_GBK"/>
                <w:sz w:val="24"/>
                <w:szCs w:val="24"/>
              </w:rPr>
            </w:pPr>
          </w:p>
        </w:tc>
        <w:tc>
          <w:tcPr>
            <w:tcW w:w="1971" w:type="dxa"/>
            <w:gridSpan w:val="2"/>
            <w:noWrap w:val="0"/>
            <w:vAlign w:val="center"/>
          </w:tcPr>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初评分</w:t>
            </w:r>
          </w:p>
        </w:tc>
        <w:tc>
          <w:tcPr>
            <w:tcW w:w="1098" w:type="dxa"/>
            <w:gridSpan w:val="2"/>
            <w:noWrap w:val="0"/>
            <w:vAlign w:val="center"/>
          </w:tcPr>
          <w:p>
            <w:pPr>
              <w:spacing w:line="560" w:lineRule="exact"/>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9" w:hRule="atLeast"/>
          <w:jc w:val="center"/>
        </w:trPr>
        <w:tc>
          <w:tcPr>
            <w:tcW w:w="1736" w:type="dxa"/>
            <w:gridSpan w:val="2"/>
            <w:noWrap w:val="0"/>
            <w:vAlign w:val="center"/>
          </w:tcPr>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司法鉴定机构</w:t>
            </w:r>
          </w:p>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自评意见</w:t>
            </w:r>
          </w:p>
        </w:tc>
        <w:tc>
          <w:tcPr>
            <w:tcW w:w="12136" w:type="dxa"/>
            <w:gridSpan w:val="10"/>
            <w:noWrap w:val="0"/>
            <w:vAlign w:val="center"/>
          </w:tcPr>
          <w:p>
            <w:pPr>
              <w:spacing w:line="500" w:lineRule="exact"/>
              <w:rPr>
                <w:rFonts w:hint="eastAsia" w:ascii="Times New Roman" w:hAnsi="Times New Roman" w:eastAsia="方正仿宋_GBK"/>
                <w:sz w:val="24"/>
                <w:szCs w:val="24"/>
              </w:rPr>
            </w:pPr>
            <w:r>
              <w:rPr>
                <w:rFonts w:hint="eastAsia" w:ascii="Times New Roman" w:hAnsi="Times New Roman" w:eastAsia="方正仿宋_GBK"/>
                <w:sz w:val="24"/>
                <w:szCs w:val="24"/>
              </w:rPr>
              <w:t>经自查，我机构自评得分为   分。</w:t>
            </w:r>
          </w:p>
          <w:p>
            <w:pPr>
              <w:spacing w:line="500" w:lineRule="exact"/>
              <w:rPr>
                <w:rFonts w:hint="eastAsia" w:ascii="Times New Roman" w:hAnsi="Times New Roman" w:eastAsia="方正仿宋_GBK"/>
                <w:sz w:val="24"/>
                <w:szCs w:val="24"/>
              </w:rPr>
            </w:pPr>
          </w:p>
          <w:p>
            <w:pPr>
              <w:spacing w:line="500" w:lineRule="exact"/>
              <w:rPr>
                <w:rFonts w:hint="eastAsia" w:ascii="Times New Roman" w:hAnsi="Times New Roman" w:eastAsia="方正仿宋_GBK"/>
                <w:sz w:val="24"/>
                <w:szCs w:val="24"/>
              </w:rPr>
            </w:pPr>
          </w:p>
          <w:p>
            <w:pPr>
              <w:spacing w:line="500" w:lineRule="exact"/>
              <w:rPr>
                <w:rFonts w:hint="eastAsia" w:ascii="Times New Roman" w:hAnsi="Times New Roman" w:eastAsia="方正仿宋_GBK"/>
                <w:sz w:val="24"/>
                <w:szCs w:val="24"/>
              </w:rPr>
            </w:pPr>
            <w:r>
              <w:rPr>
                <w:rFonts w:hint="eastAsia" w:ascii="Times New Roman" w:hAnsi="Times New Roman" w:eastAsia="方正仿宋_GBK"/>
                <w:sz w:val="24"/>
                <w:szCs w:val="24"/>
              </w:rPr>
              <w:t xml:space="preserve">                                                                                      （盖章）</w:t>
            </w:r>
          </w:p>
          <w:p>
            <w:pPr>
              <w:spacing w:line="500" w:lineRule="exact"/>
              <w:rPr>
                <w:rFonts w:hint="eastAsia" w:ascii="Times New Roman" w:hAnsi="Times New Roman" w:eastAsia="方正仿宋_GBK"/>
                <w:sz w:val="24"/>
                <w:szCs w:val="24"/>
              </w:rPr>
            </w:pPr>
            <w:r>
              <w:rPr>
                <w:rFonts w:hint="eastAsia" w:ascii="Times New Roman" w:hAnsi="Times New Roman" w:eastAsia="方正仿宋_GBK"/>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4" w:hRule="atLeast"/>
          <w:jc w:val="center"/>
        </w:trPr>
        <w:tc>
          <w:tcPr>
            <w:tcW w:w="1736" w:type="dxa"/>
            <w:gridSpan w:val="2"/>
            <w:noWrap w:val="0"/>
            <w:vAlign w:val="center"/>
          </w:tcPr>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区县司法局</w:t>
            </w:r>
          </w:p>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初评意见</w:t>
            </w:r>
          </w:p>
        </w:tc>
        <w:tc>
          <w:tcPr>
            <w:tcW w:w="12136" w:type="dxa"/>
            <w:gridSpan w:val="10"/>
            <w:noWrap w:val="0"/>
            <w:vAlign w:val="center"/>
          </w:tcPr>
          <w:p>
            <w:pPr>
              <w:spacing w:line="500" w:lineRule="exact"/>
              <w:rPr>
                <w:rFonts w:hint="eastAsia" w:ascii="Times New Roman" w:hAnsi="Times New Roman" w:eastAsia="方正仿宋_GBK"/>
                <w:sz w:val="24"/>
                <w:szCs w:val="24"/>
              </w:rPr>
            </w:pPr>
            <w:r>
              <w:rPr>
                <w:rFonts w:hint="eastAsia" w:ascii="Times New Roman" w:hAnsi="Times New Roman" w:eastAsia="方正仿宋_GBK"/>
                <w:sz w:val="24"/>
                <w:szCs w:val="24"/>
              </w:rPr>
              <w:t>经初审，该机构初评得分为   分，建议等级确定为   。</w:t>
            </w:r>
          </w:p>
          <w:p>
            <w:pPr>
              <w:spacing w:line="500" w:lineRule="exact"/>
              <w:rPr>
                <w:rFonts w:hint="eastAsia" w:ascii="Times New Roman" w:hAnsi="Times New Roman" w:eastAsia="方正仿宋_GBK"/>
                <w:sz w:val="24"/>
                <w:szCs w:val="24"/>
              </w:rPr>
            </w:pPr>
          </w:p>
          <w:p>
            <w:pPr>
              <w:spacing w:line="500" w:lineRule="exact"/>
              <w:rPr>
                <w:rFonts w:hint="eastAsia" w:ascii="Times New Roman" w:hAnsi="Times New Roman" w:eastAsia="方正仿宋_GBK"/>
                <w:sz w:val="24"/>
                <w:szCs w:val="24"/>
              </w:rPr>
            </w:pPr>
            <w:r>
              <w:rPr>
                <w:rFonts w:hint="eastAsia" w:ascii="Times New Roman" w:hAnsi="Times New Roman" w:eastAsia="方正仿宋_GBK"/>
                <w:sz w:val="24"/>
                <w:szCs w:val="24"/>
              </w:rPr>
              <w:t xml:space="preserve"> </w:t>
            </w:r>
          </w:p>
          <w:p>
            <w:pPr>
              <w:spacing w:line="500" w:lineRule="exact"/>
              <w:rPr>
                <w:rFonts w:hint="eastAsia" w:ascii="Times New Roman" w:hAnsi="Times New Roman" w:eastAsia="方正仿宋_GBK"/>
                <w:sz w:val="24"/>
                <w:szCs w:val="24"/>
              </w:rPr>
            </w:pPr>
            <w:r>
              <w:rPr>
                <w:rFonts w:hint="eastAsia" w:ascii="Times New Roman" w:hAnsi="Times New Roman" w:eastAsia="方正仿宋_GBK"/>
                <w:sz w:val="24"/>
                <w:szCs w:val="24"/>
              </w:rPr>
              <w:t xml:space="preserve">                                                                                       （盖章）</w:t>
            </w:r>
          </w:p>
          <w:p>
            <w:pPr>
              <w:spacing w:line="500" w:lineRule="exact"/>
              <w:rPr>
                <w:rFonts w:hint="eastAsia" w:ascii="Times New Roman" w:hAnsi="Times New Roman" w:eastAsia="方正仿宋_GBK"/>
                <w:sz w:val="24"/>
                <w:szCs w:val="24"/>
              </w:rPr>
            </w:pPr>
            <w:r>
              <w:rPr>
                <w:rFonts w:hint="eastAsia" w:ascii="Times New Roman" w:hAnsi="Times New Roman" w:eastAsia="方正仿宋_GBK"/>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jc w:val="center"/>
        </w:trPr>
        <w:tc>
          <w:tcPr>
            <w:tcW w:w="1736" w:type="dxa"/>
            <w:gridSpan w:val="2"/>
            <w:noWrap w:val="0"/>
            <w:vAlign w:val="center"/>
          </w:tcPr>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市司法局</w:t>
            </w:r>
          </w:p>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评价结果</w:t>
            </w:r>
          </w:p>
        </w:tc>
        <w:tc>
          <w:tcPr>
            <w:tcW w:w="12136" w:type="dxa"/>
            <w:gridSpan w:val="10"/>
            <w:noWrap w:val="0"/>
            <w:vAlign w:val="center"/>
          </w:tcPr>
          <w:p>
            <w:pPr>
              <w:spacing w:line="500" w:lineRule="exact"/>
              <w:rPr>
                <w:rFonts w:hint="eastAsia" w:ascii="Times New Roman" w:hAnsi="Times New Roman" w:eastAsia="方正仿宋_GBK"/>
                <w:sz w:val="24"/>
                <w:szCs w:val="24"/>
              </w:rPr>
            </w:pPr>
            <w:r>
              <w:rPr>
                <w:rFonts w:hint="eastAsia" w:ascii="Times New Roman" w:hAnsi="Times New Roman" w:eastAsia="方正仿宋_GBK"/>
                <w:sz w:val="24"/>
                <w:szCs w:val="24"/>
              </w:rPr>
              <w:t>经审查，该机构评价得分为   分，等级确定为   。</w:t>
            </w:r>
          </w:p>
          <w:p>
            <w:pPr>
              <w:spacing w:line="500" w:lineRule="exact"/>
              <w:rPr>
                <w:rFonts w:hint="eastAsia" w:ascii="Times New Roman" w:hAnsi="Times New Roman" w:eastAsia="方正仿宋_GBK"/>
                <w:sz w:val="24"/>
                <w:szCs w:val="24"/>
              </w:rPr>
            </w:pPr>
          </w:p>
          <w:p>
            <w:pPr>
              <w:spacing w:line="500" w:lineRule="exact"/>
              <w:rPr>
                <w:rFonts w:hint="eastAsia" w:ascii="Times New Roman" w:hAnsi="Times New Roman" w:eastAsia="方正仿宋_GBK"/>
                <w:sz w:val="24"/>
                <w:szCs w:val="24"/>
              </w:rPr>
            </w:pPr>
          </w:p>
          <w:p>
            <w:pPr>
              <w:spacing w:line="500" w:lineRule="exact"/>
              <w:rPr>
                <w:rFonts w:hint="eastAsia" w:ascii="Times New Roman" w:hAnsi="Times New Roman" w:eastAsia="方正仿宋_GBK"/>
                <w:sz w:val="24"/>
                <w:szCs w:val="24"/>
              </w:rPr>
            </w:pPr>
            <w:r>
              <w:rPr>
                <w:rFonts w:hint="eastAsia" w:ascii="Times New Roman" w:hAnsi="Times New Roman" w:eastAsia="方正仿宋_GBK"/>
                <w:sz w:val="24"/>
                <w:szCs w:val="24"/>
              </w:rPr>
              <w:t xml:space="preserve">                                                                                         （盖章）</w:t>
            </w:r>
          </w:p>
          <w:p>
            <w:pPr>
              <w:spacing w:line="500" w:lineRule="exact"/>
              <w:rPr>
                <w:rFonts w:ascii="Times New Roman" w:hAnsi="Times New Roman" w:eastAsia="方正仿宋_GBK"/>
                <w:sz w:val="24"/>
                <w:szCs w:val="24"/>
              </w:rPr>
            </w:pPr>
            <w:r>
              <w:rPr>
                <w:rFonts w:hint="eastAsia" w:ascii="Times New Roman" w:hAnsi="Times New Roman" w:eastAsia="方正仿宋_GBK"/>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atLeast"/>
          <w:jc w:val="center"/>
        </w:trPr>
        <w:tc>
          <w:tcPr>
            <w:tcW w:w="1736" w:type="dxa"/>
            <w:gridSpan w:val="2"/>
            <w:noWrap w:val="0"/>
            <w:vAlign w:val="center"/>
          </w:tcPr>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备注</w:t>
            </w:r>
          </w:p>
        </w:tc>
        <w:tc>
          <w:tcPr>
            <w:tcW w:w="12136" w:type="dxa"/>
            <w:gridSpan w:val="10"/>
            <w:noWrap w:val="0"/>
            <w:vAlign w:val="center"/>
          </w:tcPr>
          <w:p>
            <w:pPr>
              <w:spacing w:line="560" w:lineRule="exact"/>
              <w:rPr>
                <w:rFonts w:hint="eastAsia" w:ascii="Times New Roman" w:hAnsi="Times New Roman" w:eastAsia="方正仿宋_GBK"/>
                <w:sz w:val="24"/>
                <w:szCs w:val="24"/>
              </w:rPr>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firstLineChars="200"/>
        <w:jc w:val="both"/>
        <w:rPr>
          <w:rFonts w:hint="eastAsia" w:ascii="方正仿宋_GBK" w:hAnsi="方正仿宋_GBK" w:eastAsia="方正仿宋_GBK" w:cs="方正仿宋_GBK"/>
          <w:b w:val="0"/>
          <w:i w:val="0"/>
          <w:caps w:val="0"/>
          <w:color w:val="000000"/>
          <w:spacing w:val="0"/>
          <w:sz w:val="31"/>
          <w:szCs w:val="31"/>
          <w:shd w:val="clear" w:fill="FFFFFF"/>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firstLineChars="200"/>
        <w:jc w:val="both"/>
        <w:rPr>
          <w:rFonts w:hint="eastAsia" w:ascii="方正仿宋_GBK" w:hAnsi="方正仿宋_GBK" w:eastAsia="方正仿宋_GBK" w:cs="方正仿宋_GBK"/>
          <w:b w:val="0"/>
          <w:i w:val="0"/>
          <w:caps w:val="0"/>
          <w:color w:val="000000"/>
          <w:spacing w:val="0"/>
          <w:sz w:val="31"/>
          <w:szCs w:val="31"/>
          <w:shd w:val="clear" w:fill="FFFFFF"/>
          <w:lang w:val="en-US" w:eastAsia="zh-CN"/>
        </w:rPr>
      </w:pPr>
    </w:p>
    <w:p>
      <w:pPr>
        <w:spacing w:line="540" w:lineRule="exact"/>
        <w:jc w:val="center"/>
        <w:rPr>
          <w:rFonts w:hint="eastAsia" w:ascii="Times New Roman" w:hAnsi="Times New Roman" w:eastAsia="方正小标宋_GBK" w:cs="方正小标宋_GBK"/>
          <w:sz w:val="44"/>
          <w:szCs w:val="44"/>
        </w:rPr>
      </w:pPr>
    </w:p>
    <w:p>
      <w:pPr>
        <w:spacing w:line="540" w:lineRule="exact"/>
        <w:jc w:val="center"/>
        <w:rPr>
          <w:rFonts w:hint="eastAsia" w:ascii="Times New Roman" w:hAnsi="Times New Roman" w:eastAsia="方正小标宋_GBK" w:cs="方正小标宋_GBK"/>
          <w:sz w:val="44"/>
          <w:szCs w:val="44"/>
        </w:rPr>
      </w:pPr>
    </w:p>
    <w:p>
      <w:pPr>
        <w:spacing w:line="540" w:lineRule="exact"/>
        <w:jc w:val="center"/>
        <w:rPr>
          <w:rFonts w:hint="eastAsia" w:ascii="Times New Roman" w:hAnsi="Times New Roman" w:eastAsia="方正小标宋_GBK" w:cs="方正小标宋_GBK"/>
          <w:sz w:val="44"/>
          <w:szCs w:val="44"/>
        </w:rPr>
      </w:pPr>
    </w:p>
    <w:p>
      <w:pPr>
        <w:spacing w:line="540" w:lineRule="exact"/>
        <w:jc w:val="center"/>
        <w:rPr>
          <w:rFonts w:hint="eastAsia" w:ascii="Times New Roman" w:hAnsi="Times New Roman" w:eastAsia="方正小标宋_GBK" w:cs="方正小标宋_GBK"/>
          <w:sz w:val="44"/>
          <w:szCs w:val="44"/>
        </w:rPr>
      </w:pPr>
    </w:p>
    <w:p>
      <w:pPr>
        <w:spacing w:line="540" w:lineRule="exact"/>
        <w:jc w:val="center"/>
        <w:rPr>
          <w:rFonts w:hint="eastAsia" w:ascii="Times New Roman" w:hAnsi="Times New Roman" w:eastAsia="方正小标宋_GBK" w:cs="方正小标宋_GBK"/>
          <w:sz w:val="44"/>
          <w:szCs w:val="44"/>
        </w:rPr>
      </w:pPr>
    </w:p>
    <w:p>
      <w:pPr>
        <w:spacing w:line="540" w:lineRule="exact"/>
        <w:jc w:val="center"/>
        <w:rPr>
          <w:rFonts w:hint="eastAsia" w:ascii="Times New Roman" w:hAnsi="Times New Roman" w:eastAsia="方正小标宋_GBK" w:cs="方正小标宋_GBK"/>
          <w:sz w:val="44"/>
          <w:szCs w:val="44"/>
        </w:rPr>
      </w:pPr>
    </w:p>
    <w:p>
      <w:pPr>
        <w:spacing w:line="540" w:lineRule="exact"/>
        <w:jc w:val="center"/>
        <w:rPr>
          <w:rFonts w:hint="eastAsia" w:ascii="Times New Roman" w:hAnsi="Times New Roman" w:eastAsia="方正小标宋_GBK" w:cs="方正小标宋_GBK"/>
          <w:sz w:val="44"/>
          <w:szCs w:val="44"/>
        </w:rPr>
      </w:pPr>
    </w:p>
    <w:p>
      <w:pPr>
        <w:spacing w:line="540" w:lineRule="exact"/>
        <w:jc w:val="center"/>
        <w:rPr>
          <w:rFonts w:hint="eastAsia" w:ascii="Times New Roman" w:hAnsi="Times New Roman" w:eastAsia="方正小标宋_GBK" w:cs="方正小标宋_GBK"/>
          <w:sz w:val="44"/>
          <w:szCs w:val="44"/>
        </w:rPr>
      </w:pPr>
    </w:p>
    <w:p>
      <w:pPr>
        <w:spacing w:line="540" w:lineRule="exact"/>
        <w:jc w:val="center"/>
        <w:rPr>
          <w:rFonts w:hint="eastAsia" w:ascii="Times New Roman" w:hAnsi="Times New Roman" w:eastAsia="方正小标宋_GBK" w:cs="方正小标宋_GBK"/>
          <w:sz w:val="44"/>
          <w:szCs w:val="44"/>
        </w:rPr>
      </w:pPr>
    </w:p>
    <w:p>
      <w:pPr>
        <w:spacing w:line="540" w:lineRule="exact"/>
        <w:jc w:val="center"/>
        <w:rPr>
          <w:rFonts w:hint="eastAsia" w:ascii="Times New Roman" w:hAnsi="Times New Roman" w:eastAsia="方正小标宋_GBK" w:cs="方正小标宋_GBK"/>
          <w:sz w:val="44"/>
          <w:szCs w:val="44"/>
        </w:rPr>
      </w:pPr>
    </w:p>
    <w:p>
      <w:pPr>
        <w:spacing w:line="54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重庆市司法鉴定人执业评价量化表</w:t>
      </w:r>
    </w:p>
    <w:p>
      <w:pPr>
        <w:pStyle w:val="2"/>
        <w:numPr>
          <w:numId w:val="0"/>
        </w:numPr>
        <w:ind w:leftChars="0"/>
        <w:rPr>
          <w:rFonts w:hint="eastAsia"/>
        </w:rPr>
      </w:pPr>
    </w:p>
    <w:p>
      <w:pPr>
        <w:pStyle w:val="2"/>
        <w:numPr>
          <w:numId w:val="0"/>
        </w:numPr>
        <w:spacing w:line="540" w:lineRule="exact"/>
        <w:jc w:val="right"/>
        <w:rPr>
          <w:rFonts w:hint="eastAsia"/>
          <w:b w:val="0"/>
          <w:bCs w:val="0"/>
          <w:sz w:val="32"/>
          <w:szCs w:val="32"/>
        </w:rPr>
      </w:pPr>
      <w:r>
        <w:rPr>
          <w:rFonts w:hint="eastAsia"/>
          <w:sz w:val="32"/>
          <w:szCs w:val="32"/>
        </w:rPr>
        <w:t xml:space="preserve"> </w:t>
      </w:r>
      <w:r>
        <w:rPr>
          <w:rFonts w:hint="eastAsia"/>
          <w:b w:val="0"/>
          <w:bCs w:val="0"/>
          <w:sz w:val="32"/>
          <w:szCs w:val="32"/>
        </w:rPr>
        <w:t>填报时间：      年    月    日</w:t>
      </w:r>
    </w:p>
    <w:p>
      <w:pPr>
        <w:rPr>
          <w:rFonts w:hint="eastAsia"/>
        </w:rPr>
      </w:pPr>
    </w:p>
    <w:tbl>
      <w:tblPr>
        <w:tblStyle w:val="13"/>
        <w:tblW w:w="140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74"/>
        <w:gridCol w:w="588"/>
        <w:gridCol w:w="420"/>
        <w:gridCol w:w="308"/>
        <w:gridCol w:w="560"/>
        <w:gridCol w:w="1288"/>
        <w:gridCol w:w="2081"/>
        <w:gridCol w:w="526"/>
        <w:gridCol w:w="960"/>
        <w:gridCol w:w="1458"/>
        <w:gridCol w:w="1610"/>
        <w:gridCol w:w="502"/>
        <w:gridCol w:w="539"/>
        <w:gridCol w:w="706"/>
        <w:gridCol w:w="510"/>
        <w:gridCol w:w="435"/>
        <w:gridCol w:w="195"/>
        <w:gridCol w:w="10"/>
        <w:gridCol w:w="7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5" w:hRule="atLeast"/>
          <w:jc w:val="center"/>
        </w:trPr>
        <w:tc>
          <w:tcPr>
            <w:tcW w:w="1162" w:type="dxa"/>
            <w:gridSpan w:val="2"/>
            <w:noWrap w:val="0"/>
            <w:vAlign w:val="center"/>
          </w:tcPr>
          <w:p>
            <w:pPr>
              <w:spacing w:line="56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姓    名</w:t>
            </w:r>
          </w:p>
        </w:tc>
        <w:tc>
          <w:tcPr>
            <w:tcW w:w="1288" w:type="dxa"/>
            <w:gridSpan w:val="3"/>
            <w:noWrap w:val="0"/>
            <w:vAlign w:val="center"/>
          </w:tcPr>
          <w:p>
            <w:pPr>
              <w:spacing w:line="560" w:lineRule="exact"/>
              <w:jc w:val="center"/>
              <w:rPr>
                <w:rFonts w:hint="eastAsia" w:ascii="Times New Roman" w:hAnsi="Times New Roman" w:eastAsia="方正黑体_GBK" w:cs="方正黑体_GBK"/>
                <w:sz w:val="24"/>
                <w:szCs w:val="24"/>
              </w:rPr>
            </w:pPr>
          </w:p>
        </w:tc>
        <w:tc>
          <w:tcPr>
            <w:tcW w:w="1288" w:type="dxa"/>
            <w:noWrap w:val="0"/>
            <w:vAlign w:val="center"/>
          </w:tcPr>
          <w:p>
            <w:pPr>
              <w:spacing w:line="56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身份证号</w:t>
            </w:r>
          </w:p>
        </w:tc>
        <w:tc>
          <w:tcPr>
            <w:tcW w:w="2081" w:type="dxa"/>
            <w:noWrap w:val="0"/>
            <w:vAlign w:val="center"/>
          </w:tcPr>
          <w:p>
            <w:pPr>
              <w:spacing w:line="560" w:lineRule="exact"/>
              <w:jc w:val="center"/>
              <w:rPr>
                <w:rFonts w:hint="eastAsia" w:ascii="Times New Roman" w:hAnsi="Times New Roman" w:eastAsia="方正黑体_GBK" w:cs="方正黑体_GBK"/>
                <w:sz w:val="24"/>
                <w:szCs w:val="24"/>
              </w:rPr>
            </w:pPr>
          </w:p>
        </w:tc>
        <w:tc>
          <w:tcPr>
            <w:tcW w:w="1486" w:type="dxa"/>
            <w:gridSpan w:val="2"/>
            <w:noWrap w:val="0"/>
            <w:vAlign w:val="center"/>
          </w:tcPr>
          <w:p>
            <w:pPr>
              <w:spacing w:line="56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执业机构</w:t>
            </w:r>
          </w:p>
        </w:tc>
        <w:tc>
          <w:tcPr>
            <w:tcW w:w="1458" w:type="dxa"/>
            <w:tcBorders>
              <w:right w:val="single" w:color="auto" w:sz="4" w:space="0"/>
            </w:tcBorders>
            <w:noWrap w:val="0"/>
            <w:vAlign w:val="center"/>
          </w:tcPr>
          <w:p>
            <w:pPr>
              <w:spacing w:line="560" w:lineRule="exact"/>
              <w:jc w:val="center"/>
              <w:rPr>
                <w:rFonts w:hint="eastAsia" w:ascii="Times New Roman" w:hAnsi="Times New Roman" w:eastAsia="方正黑体_GBK" w:cs="方正黑体_GBK"/>
                <w:sz w:val="24"/>
                <w:szCs w:val="24"/>
              </w:rPr>
            </w:pPr>
          </w:p>
        </w:tc>
        <w:tc>
          <w:tcPr>
            <w:tcW w:w="2112" w:type="dxa"/>
            <w:gridSpan w:val="2"/>
            <w:tcBorders>
              <w:left w:val="single" w:color="auto" w:sz="4" w:space="0"/>
            </w:tcBorders>
            <w:noWrap w:val="0"/>
            <w:vAlign w:val="center"/>
          </w:tcPr>
          <w:p>
            <w:pPr>
              <w:spacing w:line="56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政治面貌</w:t>
            </w:r>
          </w:p>
        </w:tc>
        <w:tc>
          <w:tcPr>
            <w:tcW w:w="1755" w:type="dxa"/>
            <w:gridSpan w:val="3"/>
            <w:tcBorders>
              <w:left w:val="single" w:color="auto" w:sz="4" w:space="0"/>
            </w:tcBorders>
            <w:noWrap w:val="0"/>
            <w:vAlign w:val="center"/>
          </w:tcPr>
          <w:p>
            <w:pPr>
              <w:spacing w:line="560" w:lineRule="exact"/>
              <w:jc w:val="center"/>
              <w:rPr>
                <w:rFonts w:hint="eastAsia" w:ascii="Times New Roman" w:hAnsi="Times New Roman" w:eastAsia="方正黑体_GBK" w:cs="方正黑体_GBK"/>
                <w:sz w:val="24"/>
                <w:szCs w:val="24"/>
              </w:rPr>
            </w:pPr>
          </w:p>
        </w:tc>
        <w:tc>
          <w:tcPr>
            <w:tcW w:w="630" w:type="dxa"/>
            <w:gridSpan w:val="2"/>
            <w:tcBorders>
              <w:left w:val="single" w:color="auto" w:sz="4" w:space="0"/>
            </w:tcBorders>
            <w:noWrap w:val="0"/>
            <w:vAlign w:val="center"/>
          </w:tcPr>
          <w:p>
            <w:pPr>
              <w:spacing w:line="56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性别</w:t>
            </w:r>
          </w:p>
        </w:tc>
        <w:tc>
          <w:tcPr>
            <w:tcW w:w="808" w:type="dxa"/>
            <w:gridSpan w:val="2"/>
            <w:tcBorders>
              <w:left w:val="single" w:color="auto" w:sz="4" w:space="0"/>
            </w:tcBorders>
            <w:noWrap w:val="0"/>
            <w:vAlign w:val="center"/>
          </w:tcPr>
          <w:p>
            <w:pPr>
              <w:spacing w:line="560" w:lineRule="exact"/>
              <w:jc w:val="center"/>
              <w:rPr>
                <w:rFonts w:hint="eastAsia" w:ascii="Times New Roman" w:hAnsi="Times New Roman" w:eastAsia="方正黑体_GBK" w:cs="方正黑体_GBK"/>
                <w:sz w:val="24"/>
                <w:szCs w:val="24"/>
              </w:rPr>
            </w:pPr>
          </w:p>
        </w:tc>
      </w:tr>
      <w:tr>
        <w:trPr>
          <w:trHeight w:val="420" w:hRule="atLeast"/>
          <w:jc w:val="center"/>
        </w:trPr>
        <w:tc>
          <w:tcPr>
            <w:tcW w:w="1162" w:type="dxa"/>
            <w:gridSpan w:val="2"/>
            <w:noWrap w:val="0"/>
            <w:vAlign w:val="center"/>
          </w:tcPr>
          <w:p>
            <w:pPr>
              <w:spacing w:line="56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业务范围</w:t>
            </w:r>
          </w:p>
        </w:tc>
        <w:tc>
          <w:tcPr>
            <w:tcW w:w="1288" w:type="dxa"/>
            <w:gridSpan w:val="3"/>
            <w:noWrap w:val="0"/>
            <w:vAlign w:val="center"/>
          </w:tcPr>
          <w:p>
            <w:pPr>
              <w:spacing w:line="560" w:lineRule="exact"/>
              <w:jc w:val="center"/>
              <w:rPr>
                <w:rFonts w:hint="eastAsia" w:ascii="Times New Roman" w:hAnsi="Times New Roman" w:eastAsia="方正黑体_GBK" w:cs="方正黑体_GBK"/>
                <w:sz w:val="24"/>
                <w:szCs w:val="24"/>
              </w:rPr>
            </w:pPr>
          </w:p>
        </w:tc>
        <w:tc>
          <w:tcPr>
            <w:tcW w:w="1288" w:type="dxa"/>
            <w:noWrap w:val="0"/>
            <w:vAlign w:val="center"/>
          </w:tcPr>
          <w:p>
            <w:pPr>
              <w:spacing w:line="56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执业证号</w:t>
            </w:r>
          </w:p>
        </w:tc>
        <w:tc>
          <w:tcPr>
            <w:tcW w:w="2081" w:type="dxa"/>
            <w:noWrap w:val="0"/>
            <w:vAlign w:val="center"/>
          </w:tcPr>
          <w:p>
            <w:pPr>
              <w:spacing w:line="560" w:lineRule="exact"/>
              <w:jc w:val="center"/>
              <w:rPr>
                <w:rFonts w:hint="eastAsia" w:ascii="Times New Roman" w:hAnsi="Times New Roman" w:eastAsia="方正黑体_GBK" w:cs="方正黑体_GBK"/>
                <w:sz w:val="24"/>
                <w:szCs w:val="24"/>
              </w:rPr>
            </w:pPr>
          </w:p>
        </w:tc>
        <w:tc>
          <w:tcPr>
            <w:tcW w:w="1486" w:type="dxa"/>
            <w:gridSpan w:val="2"/>
            <w:noWrap w:val="0"/>
            <w:vAlign w:val="center"/>
          </w:tcPr>
          <w:p>
            <w:pPr>
              <w:spacing w:line="56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学    历</w:t>
            </w:r>
          </w:p>
        </w:tc>
        <w:tc>
          <w:tcPr>
            <w:tcW w:w="1458" w:type="dxa"/>
            <w:tcBorders>
              <w:right w:val="single" w:color="auto" w:sz="4" w:space="0"/>
            </w:tcBorders>
            <w:noWrap w:val="0"/>
            <w:vAlign w:val="center"/>
          </w:tcPr>
          <w:p>
            <w:pPr>
              <w:spacing w:line="560" w:lineRule="exact"/>
              <w:jc w:val="center"/>
              <w:rPr>
                <w:rFonts w:hint="eastAsia" w:ascii="Times New Roman" w:hAnsi="Times New Roman" w:eastAsia="方正黑体_GBK" w:cs="方正黑体_GBK"/>
                <w:sz w:val="24"/>
                <w:szCs w:val="24"/>
              </w:rPr>
            </w:pPr>
          </w:p>
        </w:tc>
        <w:tc>
          <w:tcPr>
            <w:tcW w:w="1610" w:type="dxa"/>
            <w:vMerge w:val="restart"/>
            <w:tcBorders>
              <w:left w:val="single" w:color="auto" w:sz="4" w:space="0"/>
            </w:tcBorders>
            <w:noWrap w:val="0"/>
            <w:vAlign w:val="center"/>
          </w:tcPr>
          <w:p>
            <w:pPr>
              <w:spacing w:line="56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相关任职情况</w:t>
            </w:r>
          </w:p>
        </w:tc>
        <w:tc>
          <w:tcPr>
            <w:tcW w:w="1041" w:type="dxa"/>
            <w:gridSpan w:val="2"/>
            <w:tcBorders>
              <w:left w:val="single" w:color="auto" w:sz="4" w:space="0"/>
            </w:tcBorders>
            <w:noWrap w:val="0"/>
            <w:vAlign w:val="center"/>
          </w:tcPr>
          <w:p>
            <w:pPr>
              <w:spacing w:line="56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党代表</w:t>
            </w:r>
          </w:p>
        </w:tc>
        <w:tc>
          <w:tcPr>
            <w:tcW w:w="706" w:type="dxa"/>
            <w:tcBorders>
              <w:left w:val="single" w:color="auto" w:sz="4" w:space="0"/>
            </w:tcBorders>
            <w:noWrap w:val="0"/>
            <w:vAlign w:val="center"/>
          </w:tcPr>
          <w:p>
            <w:pPr>
              <w:spacing w:line="560" w:lineRule="exact"/>
              <w:jc w:val="center"/>
              <w:rPr>
                <w:rFonts w:hint="eastAsia" w:ascii="Times New Roman" w:hAnsi="Times New Roman" w:eastAsia="方正黑体_GBK" w:cs="方正黑体_GBK"/>
                <w:sz w:val="24"/>
                <w:szCs w:val="24"/>
              </w:rPr>
            </w:pPr>
          </w:p>
        </w:tc>
        <w:tc>
          <w:tcPr>
            <w:tcW w:w="1150" w:type="dxa"/>
            <w:gridSpan w:val="4"/>
            <w:tcBorders>
              <w:left w:val="single" w:color="auto" w:sz="4" w:space="0"/>
            </w:tcBorders>
            <w:noWrap w:val="0"/>
            <w:vAlign w:val="center"/>
          </w:tcPr>
          <w:p>
            <w:pPr>
              <w:spacing w:line="56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人大代表</w:t>
            </w:r>
          </w:p>
        </w:tc>
        <w:tc>
          <w:tcPr>
            <w:tcW w:w="798" w:type="dxa"/>
            <w:tcBorders>
              <w:left w:val="single" w:color="auto" w:sz="4" w:space="0"/>
            </w:tcBorders>
            <w:noWrap w:val="0"/>
            <w:vAlign w:val="center"/>
          </w:tcPr>
          <w:p>
            <w:pPr>
              <w:spacing w:line="560" w:lineRule="exact"/>
              <w:jc w:val="center"/>
              <w:rPr>
                <w:rFonts w:hint="eastAsia" w:ascii="Times New Roman" w:hAnsi="Times New Roman" w:eastAsia="方正黑体_GBK" w:cs="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5" w:hRule="atLeast"/>
          <w:jc w:val="center"/>
        </w:trPr>
        <w:tc>
          <w:tcPr>
            <w:tcW w:w="1162" w:type="dxa"/>
            <w:gridSpan w:val="2"/>
            <w:noWrap w:val="0"/>
            <w:vAlign w:val="center"/>
          </w:tcPr>
          <w:p>
            <w:pPr>
              <w:spacing w:line="56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技术职称</w:t>
            </w:r>
          </w:p>
        </w:tc>
        <w:tc>
          <w:tcPr>
            <w:tcW w:w="1288" w:type="dxa"/>
            <w:gridSpan w:val="3"/>
            <w:noWrap w:val="0"/>
            <w:vAlign w:val="center"/>
          </w:tcPr>
          <w:p>
            <w:pPr>
              <w:spacing w:line="560" w:lineRule="exact"/>
              <w:jc w:val="center"/>
              <w:rPr>
                <w:rFonts w:hint="eastAsia" w:ascii="Times New Roman" w:hAnsi="Times New Roman" w:eastAsia="方正黑体_GBK" w:cs="方正黑体_GBK"/>
                <w:sz w:val="24"/>
                <w:szCs w:val="24"/>
              </w:rPr>
            </w:pPr>
          </w:p>
        </w:tc>
        <w:tc>
          <w:tcPr>
            <w:tcW w:w="1288" w:type="dxa"/>
            <w:noWrap w:val="0"/>
            <w:vAlign w:val="center"/>
          </w:tcPr>
          <w:p>
            <w:pPr>
              <w:spacing w:line="56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行业资格</w:t>
            </w:r>
          </w:p>
        </w:tc>
        <w:tc>
          <w:tcPr>
            <w:tcW w:w="2081" w:type="dxa"/>
            <w:noWrap w:val="0"/>
            <w:vAlign w:val="center"/>
          </w:tcPr>
          <w:p>
            <w:pPr>
              <w:spacing w:line="560" w:lineRule="exact"/>
              <w:jc w:val="center"/>
              <w:rPr>
                <w:rFonts w:hint="eastAsia" w:ascii="Times New Roman" w:hAnsi="Times New Roman" w:eastAsia="方正黑体_GBK" w:cs="方正黑体_GBK"/>
                <w:sz w:val="24"/>
                <w:szCs w:val="24"/>
              </w:rPr>
            </w:pPr>
          </w:p>
        </w:tc>
        <w:tc>
          <w:tcPr>
            <w:tcW w:w="1486" w:type="dxa"/>
            <w:gridSpan w:val="2"/>
            <w:noWrap w:val="0"/>
            <w:vAlign w:val="center"/>
          </w:tcPr>
          <w:p>
            <w:pPr>
              <w:spacing w:line="56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学    位</w:t>
            </w:r>
          </w:p>
        </w:tc>
        <w:tc>
          <w:tcPr>
            <w:tcW w:w="1458" w:type="dxa"/>
            <w:tcBorders>
              <w:right w:val="single" w:color="auto" w:sz="4" w:space="0"/>
            </w:tcBorders>
            <w:noWrap w:val="0"/>
            <w:vAlign w:val="center"/>
          </w:tcPr>
          <w:p>
            <w:pPr>
              <w:spacing w:line="560" w:lineRule="exact"/>
              <w:jc w:val="center"/>
              <w:rPr>
                <w:rFonts w:hint="eastAsia" w:ascii="Times New Roman" w:hAnsi="Times New Roman" w:eastAsia="方正黑体_GBK" w:cs="方正黑体_GBK"/>
                <w:sz w:val="24"/>
                <w:szCs w:val="24"/>
              </w:rPr>
            </w:pPr>
          </w:p>
        </w:tc>
        <w:tc>
          <w:tcPr>
            <w:tcW w:w="1610" w:type="dxa"/>
            <w:vMerge w:val="continue"/>
            <w:tcBorders>
              <w:left w:val="single" w:color="auto" w:sz="4" w:space="0"/>
            </w:tcBorders>
            <w:noWrap w:val="0"/>
            <w:vAlign w:val="center"/>
          </w:tcPr>
          <w:p>
            <w:pPr>
              <w:spacing w:line="560" w:lineRule="exact"/>
              <w:jc w:val="center"/>
              <w:rPr>
                <w:rFonts w:hint="eastAsia" w:ascii="Times New Roman" w:hAnsi="Times New Roman" w:eastAsia="方正黑体_GBK" w:cs="方正黑体_GBK"/>
                <w:sz w:val="24"/>
                <w:szCs w:val="24"/>
              </w:rPr>
            </w:pPr>
          </w:p>
        </w:tc>
        <w:tc>
          <w:tcPr>
            <w:tcW w:w="1041" w:type="dxa"/>
            <w:gridSpan w:val="2"/>
            <w:tcBorders>
              <w:left w:val="single" w:color="auto" w:sz="4" w:space="0"/>
              <w:right w:val="single" w:color="auto" w:sz="4" w:space="0"/>
            </w:tcBorders>
            <w:noWrap w:val="0"/>
            <w:vAlign w:val="center"/>
          </w:tcPr>
          <w:p>
            <w:pPr>
              <w:spacing w:line="56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政协委员</w:t>
            </w:r>
          </w:p>
        </w:tc>
        <w:tc>
          <w:tcPr>
            <w:tcW w:w="706" w:type="dxa"/>
            <w:tcBorders>
              <w:left w:val="single" w:color="auto" w:sz="4" w:space="0"/>
              <w:right w:val="single" w:color="auto" w:sz="4" w:space="0"/>
            </w:tcBorders>
            <w:noWrap w:val="0"/>
            <w:vAlign w:val="center"/>
          </w:tcPr>
          <w:p>
            <w:pPr>
              <w:spacing w:line="560" w:lineRule="exact"/>
              <w:jc w:val="center"/>
              <w:rPr>
                <w:rFonts w:hint="eastAsia" w:ascii="Times New Roman" w:hAnsi="Times New Roman" w:eastAsia="方正黑体_GBK" w:cs="方正黑体_GBK"/>
                <w:sz w:val="24"/>
                <w:szCs w:val="24"/>
              </w:rPr>
            </w:pPr>
          </w:p>
        </w:tc>
        <w:tc>
          <w:tcPr>
            <w:tcW w:w="1150" w:type="dxa"/>
            <w:gridSpan w:val="4"/>
            <w:tcBorders>
              <w:left w:val="single" w:color="auto" w:sz="4" w:space="0"/>
              <w:right w:val="single" w:color="auto" w:sz="4" w:space="0"/>
            </w:tcBorders>
            <w:noWrap w:val="0"/>
            <w:vAlign w:val="center"/>
          </w:tcPr>
          <w:p>
            <w:pPr>
              <w:spacing w:line="56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其他</w:t>
            </w:r>
          </w:p>
        </w:tc>
        <w:tc>
          <w:tcPr>
            <w:tcW w:w="798" w:type="dxa"/>
            <w:tcBorders>
              <w:left w:val="single" w:color="auto" w:sz="4" w:space="0"/>
            </w:tcBorders>
            <w:noWrap w:val="0"/>
            <w:vAlign w:val="center"/>
          </w:tcPr>
          <w:p>
            <w:pPr>
              <w:spacing w:line="560" w:lineRule="exact"/>
              <w:jc w:val="center"/>
              <w:rPr>
                <w:rFonts w:hint="eastAsia" w:ascii="Times New Roman" w:hAnsi="Times New Roman" w:eastAsia="方正黑体_GBK" w:cs="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1890" w:type="dxa"/>
            <w:gridSpan w:val="4"/>
            <w:noWrap w:val="0"/>
            <w:vAlign w:val="center"/>
          </w:tcPr>
          <w:p>
            <w:pPr>
              <w:spacing w:line="56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评价指标</w:t>
            </w:r>
          </w:p>
        </w:tc>
        <w:tc>
          <w:tcPr>
            <w:tcW w:w="3929" w:type="dxa"/>
            <w:gridSpan w:val="3"/>
            <w:noWrap w:val="0"/>
            <w:vAlign w:val="center"/>
          </w:tcPr>
          <w:p>
            <w:pPr>
              <w:spacing w:line="56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评价内容</w:t>
            </w:r>
          </w:p>
        </w:tc>
        <w:tc>
          <w:tcPr>
            <w:tcW w:w="526" w:type="dxa"/>
            <w:noWrap w:val="0"/>
            <w:vAlign w:val="center"/>
          </w:tcPr>
          <w:p>
            <w:pPr>
              <w:spacing w:line="56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分值</w:t>
            </w:r>
          </w:p>
        </w:tc>
        <w:tc>
          <w:tcPr>
            <w:tcW w:w="2418" w:type="dxa"/>
            <w:gridSpan w:val="2"/>
            <w:noWrap w:val="0"/>
            <w:vAlign w:val="center"/>
          </w:tcPr>
          <w:p>
            <w:pPr>
              <w:spacing w:line="56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个人自评情况</w:t>
            </w:r>
          </w:p>
        </w:tc>
        <w:tc>
          <w:tcPr>
            <w:tcW w:w="1610" w:type="dxa"/>
            <w:noWrap w:val="0"/>
            <w:vAlign w:val="center"/>
          </w:tcPr>
          <w:p>
            <w:pPr>
              <w:spacing w:line="56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机构评查情况</w:t>
            </w:r>
          </w:p>
        </w:tc>
        <w:tc>
          <w:tcPr>
            <w:tcW w:w="1041" w:type="dxa"/>
            <w:gridSpan w:val="2"/>
            <w:noWrap w:val="0"/>
            <w:vAlign w:val="center"/>
          </w:tcPr>
          <w:p>
            <w:pPr>
              <w:spacing w:line="56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自评得分</w:t>
            </w:r>
          </w:p>
        </w:tc>
        <w:tc>
          <w:tcPr>
            <w:tcW w:w="1651" w:type="dxa"/>
            <w:gridSpan w:val="3"/>
            <w:noWrap w:val="0"/>
            <w:vAlign w:val="center"/>
          </w:tcPr>
          <w:p>
            <w:pPr>
              <w:spacing w:line="56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区县初评情况</w:t>
            </w:r>
          </w:p>
        </w:tc>
        <w:tc>
          <w:tcPr>
            <w:tcW w:w="1003" w:type="dxa"/>
            <w:gridSpan w:val="3"/>
            <w:noWrap w:val="0"/>
            <w:vAlign w:val="center"/>
          </w:tcPr>
          <w:p>
            <w:pPr>
              <w:spacing w:line="56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初评得分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574" w:type="dxa"/>
            <w:vMerge w:val="restart"/>
            <w:noWrap w:val="0"/>
            <w:vAlign w:val="center"/>
          </w:tcPr>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基</w:t>
            </w:r>
          </w:p>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础</w:t>
            </w:r>
          </w:p>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指</w:t>
            </w:r>
          </w:p>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标</w:t>
            </w:r>
          </w:p>
        </w:tc>
        <w:tc>
          <w:tcPr>
            <w:tcW w:w="1316" w:type="dxa"/>
            <w:gridSpan w:val="3"/>
            <w:noWrap w:val="0"/>
            <w:vAlign w:val="center"/>
          </w:tcPr>
          <w:p>
            <w:pPr>
              <w:spacing w:line="560" w:lineRule="exact"/>
              <w:jc w:val="center"/>
              <w:rPr>
                <w:rFonts w:ascii="Times New Roman" w:hAnsi="Times New Roman" w:eastAsia="方正仿宋_GBK"/>
                <w:sz w:val="24"/>
                <w:szCs w:val="24"/>
              </w:rPr>
            </w:pPr>
            <w:r>
              <w:rPr>
                <w:rFonts w:hint="eastAsia" w:ascii="Times New Roman" w:hAnsi="Times New Roman" w:eastAsia="方正仿宋_GBK" w:cs="方正仿宋_GBK"/>
                <w:sz w:val="24"/>
                <w:szCs w:val="24"/>
              </w:rPr>
              <w:t>政治素质</w:t>
            </w:r>
          </w:p>
        </w:tc>
        <w:tc>
          <w:tcPr>
            <w:tcW w:w="3929" w:type="dxa"/>
            <w:gridSpan w:val="3"/>
            <w:noWrap w:val="0"/>
            <w:vAlign w:val="center"/>
          </w:tcPr>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1.党员司法鉴定人不按照要求参加党的组织生活的，每次扣1分；非党员司法鉴定人不按照要求参加政治学习的，每次扣1分；</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2.受到治安处罚的，扣10分；</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3.公开发表、传播不当言论，造成不良影响的，扣10分；</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4.不践行社会主义核心价值观、造成不良影响的，扣5分。</w:t>
            </w:r>
          </w:p>
        </w:tc>
        <w:tc>
          <w:tcPr>
            <w:tcW w:w="526" w:type="dxa"/>
            <w:noWrap w:val="0"/>
            <w:vAlign w:val="center"/>
          </w:tcPr>
          <w:p>
            <w:pPr>
              <w:spacing w:line="2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20</w:t>
            </w:r>
          </w:p>
        </w:tc>
        <w:tc>
          <w:tcPr>
            <w:tcW w:w="2418" w:type="dxa"/>
            <w:gridSpan w:val="2"/>
            <w:noWrap w:val="0"/>
            <w:vAlign w:val="center"/>
          </w:tcPr>
          <w:p>
            <w:pPr>
              <w:spacing w:line="260" w:lineRule="exact"/>
              <w:rPr>
                <w:rFonts w:ascii="Times New Roman" w:hAnsi="Times New Roman" w:eastAsia="方正仿宋_GBK"/>
                <w:sz w:val="24"/>
                <w:szCs w:val="24"/>
              </w:rPr>
            </w:pPr>
          </w:p>
        </w:tc>
        <w:tc>
          <w:tcPr>
            <w:tcW w:w="1610" w:type="dxa"/>
            <w:noWrap w:val="0"/>
            <w:vAlign w:val="center"/>
          </w:tcPr>
          <w:p>
            <w:pPr>
              <w:spacing w:line="260" w:lineRule="exact"/>
              <w:rPr>
                <w:rFonts w:ascii="Times New Roman" w:hAnsi="Times New Roman" w:eastAsia="方正仿宋_GBK"/>
                <w:sz w:val="24"/>
                <w:szCs w:val="24"/>
              </w:rPr>
            </w:pPr>
          </w:p>
        </w:tc>
        <w:tc>
          <w:tcPr>
            <w:tcW w:w="1041" w:type="dxa"/>
            <w:gridSpan w:val="2"/>
            <w:noWrap w:val="0"/>
            <w:vAlign w:val="center"/>
          </w:tcPr>
          <w:p>
            <w:pPr>
              <w:spacing w:line="260" w:lineRule="exact"/>
              <w:rPr>
                <w:rFonts w:ascii="Times New Roman" w:hAnsi="Times New Roman" w:eastAsia="方正仿宋_GBK"/>
                <w:sz w:val="24"/>
                <w:szCs w:val="24"/>
              </w:rPr>
            </w:pPr>
          </w:p>
        </w:tc>
        <w:tc>
          <w:tcPr>
            <w:tcW w:w="1651" w:type="dxa"/>
            <w:gridSpan w:val="3"/>
            <w:noWrap w:val="0"/>
            <w:vAlign w:val="center"/>
          </w:tcPr>
          <w:p>
            <w:pPr>
              <w:spacing w:line="260" w:lineRule="exact"/>
              <w:rPr>
                <w:rFonts w:ascii="Times New Roman" w:hAnsi="Times New Roman" w:eastAsia="方正仿宋_GBK"/>
                <w:sz w:val="24"/>
                <w:szCs w:val="24"/>
              </w:rPr>
            </w:pPr>
          </w:p>
        </w:tc>
        <w:tc>
          <w:tcPr>
            <w:tcW w:w="1003" w:type="dxa"/>
            <w:gridSpan w:val="3"/>
            <w:noWrap w:val="0"/>
            <w:vAlign w:val="center"/>
          </w:tcPr>
          <w:p>
            <w:pPr>
              <w:spacing w:line="260" w:lineRule="exact"/>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574" w:type="dxa"/>
            <w:vMerge w:val="continue"/>
            <w:noWrap w:val="0"/>
            <w:vAlign w:val="center"/>
          </w:tcPr>
          <w:p>
            <w:pPr>
              <w:spacing w:line="560" w:lineRule="exact"/>
              <w:rPr>
                <w:rFonts w:ascii="Times New Roman" w:hAnsi="Times New Roman" w:eastAsia="方正仿宋_GBK"/>
                <w:sz w:val="24"/>
                <w:szCs w:val="24"/>
              </w:rPr>
            </w:pPr>
          </w:p>
        </w:tc>
        <w:tc>
          <w:tcPr>
            <w:tcW w:w="1316" w:type="dxa"/>
            <w:gridSpan w:val="3"/>
            <w:noWrap w:val="0"/>
            <w:vAlign w:val="center"/>
          </w:tcPr>
          <w:p>
            <w:pPr>
              <w:spacing w:line="560" w:lineRule="exact"/>
              <w:jc w:val="center"/>
              <w:rPr>
                <w:rFonts w:ascii="Times New Roman" w:hAnsi="Times New Roman" w:eastAsia="方正仿宋_GBK"/>
                <w:sz w:val="24"/>
                <w:szCs w:val="24"/>
              </w:rPr>
            </w:pPr>
            <w:r>
              <w:rPr>
                <w:rFonts w:hint="eastAsia" w:ascii="Times New Roman" w:hAnsi="Times New Roman" w:eastAsia="方正仿宋_GBK" w:cs="方正仿宋_GBK"/>
                <w:sz w:val="24"/>
                <w:szCs w:val="24"/>
              </w:rPr>
              <w:t>能力水平</w:t>
            </w:r>
          </w:p>
        </w:tc>
        <w:tc>
          <w:tcPr>
            <w:tcW w:w="3929" w:type="dxa"/>
            <w:gridSpan w:val="3"/>
            <w:noWrap w:val="0"/>
            <w:vAlign w:val="center"/>
          </w:tcPr>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1.行业资格被注销、技术职称被降级尚不构成注销登记的，扣2分；</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cs="方正仿宋_GBK"/>
                <w:sz w:val="24"/>
                <w:szCs w:val="24"/>
              </w:rPr>
              <w:t>2.学历、技术职称、行业资格、工作资历等发生变动、未按照规定办理变更登记的，</w:t>
            </w:r>
            <w:r>
              <w:rPr>
                <w:rFonts w:hint="eastAsia" w:ascii="Times New Roman" w:hAnsi="Times New Roman" w:eastAsia="方正仿宋_GBK"/>
                <w:sz w:val="24"/>
                <w:szCs w:val="24"/>
              </w:rPr>
              <w:t>每次扣2分；</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3.未完成年度教育培训任务的，扣5分；</w:t>
            </w:r>
          </w:p>
          <w:p>
            <w:pPr>
              <w:spacing w:line="260" w:lineRule="exact"/>
              <w:rPr>
                <w:rFonts w:ascii="Times New Roman" w:hAnsi="Times New Roman" w:eastAsia="方正仿宋_GBK"/>
                <w:sz w:val="24"/>
                <w:szCs w:val="24"/>
              </w:rPr>
            </w:pPr>
            <w:r>
              <w:rPr>
                <w:rFonts w:hint="eastAsia" w:ascii="Times New Roman" w:hAnsi="Times New Roman" w:eastAsia="方正仿宋_GBK"/>
                <w:sz w:val="24"/>
                <w:szCs w:val="24"/>
              </w:rPr>
              <w:t>4.参加司法行政机关、行业协会组织的考试考核不合格的，扣5分。</w:t>
            </w:r>
          </w:p>
        </w:tc>
        <w:tc>
          <w:tcPr>
            <w:tcW w:w="526" w:type="dxa"/>
            <w:noWrap w:val="0"/>
            <w:vAlign w:val="center"/>
          </w:tcPr>
          <w:p>
            <w:pPr>
              <w:spacing w:line="2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10</w:t>
            </w:r>
          </w:p>
        </w:tc>
        <w:tc>
          <w:tcPr>
            <w:tcW w:w="2418" w:type="dxa"/>
            <w:gridSpan w:val="2"/>
            <w:noWrap w:val="0"/>
            <w:vAlign w:val="center"/>
          </w:tcPr>
          <w:p>
            <w:pPr>
              <w:spacing w:line="260" w:lineRule="exact"/>
              <w:rPr>
                <w:rFonts w:ascii="Times New Roman" w:hAnsi="Times New Roman" w:eastAsia="方正仿宋_GBK"/>
                <w:sz w:val="24"/>
                <w:szCs w:val="24"/>
              </w:rPr>
            </w:pPr>
          </w:p>
        </w:tc>
        <w:tc>
          <w:tcPr>
            <w:tcW w:w="1610" w:type="dxa"/>
            <w:noWrap w:val="0"/>
            <w:vAlign w:val="center"/>
          </w:tcPr>
          <w:p>
            <w:pPr>
              <w:spacing w:line="260" w:lineRule="exact"/>
              <w:rPr>
                <w:rFonts w:ascii="Times New Roman" w:hAnsi="Times New Roman" w:eastAsia="方正仿宋_GBK"/>
                <w:sz w:val="24"/>
                <w:szCs w:val="24"/>
              </w:rPr>
            </w:pPr>
          </w:p>
        </w:tc>
        <w:tc>
          <w:tcPr>
            <w:tcW w:w="1041" w:type="dxa"/>
            <w:gridSpan w:val="2"/>
            <w:noWrap w:val="0"/>
            <w:vAlign w:val="center"/>
          </w:tcPr>
          <w:p>
            <w:pPr>
              <w:spacing w:line="260" w:lineRule="exact"/>
              <w:rPr>
                <w:rFonts w:ascii="Times New Roman" w:hAnsi="Times New Roman" w:eastAsia="方正仿宋_GBK"/>
                <w:sz w:val="24"/>
                <w:szCs w:val="24"/>
              </w:rPr>
            </w:pPr>
          </w:p>
        </w:tc>
        <w:tc>
          <w:tcPr>
            <w:tcW w:w="1651" w:type="dxa"/>
            <w:gridSpan w:val="3"/>
            <w:noWrap w:val="0"/>
            <w:vAlign w:val="center"/>
          </w:tcPr>
          <w:p>
            <w:pPr>
              <w:spacing w:line="260" w:lineRule="exact"/>
              <w:rPr>
                <w:rFonts w:ascii="Times New Roman" w:hAnsi="Times New Roman" w:eastAsia="方正仿宋_GBK"/>
                <w:sz w:val="24"/>
                <w:szCs w:val="24"/>
              </w:rPr>
            </w:pPr>
          </w:p>
        </w:tc>
        <w:tc>
          <w:tcPr>
            <w:tcW w:w="1003" w:type="dxa"/>
            <w:gridSpan w:val="3"/>
            <w:noWrap w:val="0"/>
            <w:vAlign w:val="center"/>
          </w:tcPr>
          <w:p>
            <w:pPr>
              <w:spacing w:line="260" w:lineRule="exact"/>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574" w:type="dxa"/>
            <w:vMerge w:val="continue"/>
            <w:noWrap w:val="0"/>
            <w:vAlign w:val="center"/>
          </w:tcPr>
          <w:p>
            <w:pPr>
              <w:spacing w:line="560" w:lineRule="exact"/>
              <w:rPr>
                <w:rFonts w:ascii="Times New Roman" w:hAnsi="Times New Roman" w:eastAsia="方正仿宋_GBK"/>
                <w:sz w:val="24"/>
                <w:szCs w:val="24"/>
              </w:rPr>
            </w:pPr>
          </w:p>
        </w:tc>
        <w:tc>
          <w:tcPr>
            <w:tcW w:w="1316" w:type="dxa"/>
            <w:gridSpan w:val="3"/>
            <w:noWrap w:val="0"/>
            <w:vAlign w:val="center"/>
          </w:tcPr>
          <w:p>
            <w:pPr>
              <w:spacing w:line="560" w:lineRule="exact"/>
              <w:jc w:val="center"/>
              <w:rPr>
                <w:rFonts w:ascii="Times New Roman" w:hAnsi="Times New Roman" w:eastAsia="方正仿宋_GBK"/>
                <w:sz w:val="24"/>
                <w:szCs w:val="24"/>
              </w:rPr>
            </w:pPr>
            <w:r>
              <w:rPr>
                <w:rFonts w:hint="eastAsia" w:ascii="Times New Roman" w:hAnsi="Times New Roman" w:eastAsia="方正仿宋_GBK" w:cs="方正仿宋_GBK"/>
                <w:sz w:val="24"/>
                <w:szCs w:val="24"/>
              </w:rPr>
              <w:t>执业表现</w:t>
            </w:r>
          </w:p>
        </w:tc>
        <w:tc>
          <w:tcPr>
            <w:tcW w:w="3929" w:type="dxa"/>
            <w:gridSpan w:val="3"/>
            <w:noWrap w:val="0"/>
            <w:vAlign w:val="center"/>
          </w:tcPr>
          <w:p>
            <w:pPr>
              <w:spacing w:line="260" w:lineRule="exact"/>
              <w:rPr>
                <w:rFonts w:hint="eastAsia" w:ascii="Times New Roman" w:hAnsi="Times New Roman" w:eastAsia="方正仿宋_GBK" w:cs="方正仿宋_GBK"/>
                <w:sz w:val="24"/>
                <w:szCs w:val="24"/>
              </w:rPr>
            </w:pPr>
            <w:r>
              <w:rPr>
                <w:rFonts w:hint="eastAsia" w:ascii="Times New Roman" w:hAnsi="Times New Roman" w:eastAsia="方正仿宋_GBK"/>
                <w:sz w:val="24"/>
                <w:szCs w:val="24"/>
              </w:rPr>
              <w:t>1.评价周期内业务量为</w:t>
            </w:r>
            <w:r>
              <w:rPr>
                <w:rFonts w:hint="eastAsia" w:ascii="Times New Roman" w:hAnsi="Times New Roman" w:eastAsia="方正仿宋_GBK" w:cs="方正仿宋_GBK"/>
                <w:sz w:val="24"/>
                <w:szCs w:val="24"/>
              </w:rPr>
              <w:t>0的，扣5分；</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cs="方正仿宋_GBK"/>
                <w:sz w:val="24"/>
                <w:szCs w:val="24"/>
              </w:rPr>
              <w:t>2.有以下情形，受到行政处理或行业处分的，每次扣2分；被处以警告行政处罚的，每次扣3分；被处以暂停执业六个月以下行政处罚的，每次扣5分</w:t>
            </w:r>
            <w:r>
              <w:rPr>
                <w:rFonts w:hint="eastAsia" w:ascii="Times New Roman" w:hAnsi="Times New Roman" w:eastAsia="方正仿宋_GBK"/>
                <w:sz w:val="24"/>
                <w:szCs w:val="24"/>
              </w:rPr>
              <w:t>：</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（1）超出登记的执业类别执业的；</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（2）同时在两个以上鉴定机构执业的；</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（3）私自接受鉴定委托的；</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（4）因重大过失出具错误的鉴定意见的；</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（5）违反回避规定或不按规定或约定的时限完成鉴定工作或者其他严重违反鉴定程序的;</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（6）不按规定承担鉴定援助的；</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（7）违反法律、法规、规章规定的其它情形的。</w:t>
            </w:r>
          </w:p>
        </w:tc>
        <w:tc>
          <w:tcPr>
            <w:tcW w:w="526" w:type="dxa"/>
            <w:noWrap w:val="0"/>
            <w:vAlign w:val="center"/>
          </w:tcPr>
          <w:p>
            <w:pPr>
              <w:spacing w:line="2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25</w:t>
            </w:r>
          </w:p>
        </w:tc>
        <w:tc>
          <w:tcPr>
            <w:tcW w:w="2418" w:type="dxa"/>
            <w:gridSpan w:val="2"/>
            <w:noWrap w:val="0"/>
            <w:vAlign w:val="center"/>
          </w:tcPr>
          <w:p>
            <w:pPr>
              <w:spacing w:line="260" w:lineRule="exact"/>
              <w:rPr>
                <w:rFonts w:ascii="Times New Roman" w:hAnsi="Times New Roman" w:eastAsia="方正仿宋_GBK"/>
                <w:sz w:val="24"/>
                <w:szCs w:val="24"/>
              </w:rPr>
            </w:pPr>
          </w:p>
        </w:tc>
        <w:tc>
          <w:tcPr>
            <w:tcW w:w="1610" w:type="dxa"/>
            <w:noWrap w:val="0"/>
            <w:vAlign w:val="center"/>
          </w:tcPr>
          <w:p>
            <w:pPr>
              <w:spacing w:line="260" w:lineRule="exact"/>
              <w:rPr>
                <w:rFonts w:ascii="Times New Roman" w:hAnsi="Times New Roman" w:eastAsia="方正仿宋_GBK"/>
                <w:sz w:val="24"/>
                <w:szCs w:val="24"/>
              </w:rPr>
            </w:pPr>
          </w:p>
        </w:tc>
        <w:tc>
          <w:tcPr>
            <w:tcW w:w="1041" w:type="dxa"/>
            <w:gridSpan w:val="2"/>
            <w:noWrap w:val="0"/>
            <w:vAlign w:val="center"/>
          </w:tcPr>
          <w:p>
            <w:pPr>
              <w:spacing w:line="260" w:lineRule="exact"/>
              <w:rPr>
                <w:rFonts w:ascii="Times New Roman" w:hAnsi="Times New Roman" w:eastAsia="方正仿宋_GBK"/>
                <w:sz w:val="24"/>
                <w:szCs w:val="24"/>
              </w:rPr>
            </w:pPr>
          </w:p>
        </w:tc>
        <w:tc>
          <w:tcPr>
            <w:tcW w:w="1651" w:type="dxa"/>
            <w:gridSpan w:val="3"/>
            <w:noWrap w:val="0"/>
            <w:vAlign w:val="center"/>
          </w:tcPr>
          <w:p>
            <w:pPr>
              <w:spacing w:line="260" w:lineRule="exact"/>
              <w:rPr>
                <w:rFonts w:ascii="Times New Roman" w:hAnsi="Times New Roman" w:eastAsia="方正仿宋_GBK"/>
                <w:sz w:val="24"/>
                <w:szCs w:val="24"/>
              </w:rPr>
            </w:pPr>
          </w:p>
        </w:tc>
        <w:tc>
          <w:tcPr>
            <w:tcW w:w="1003" w:type="dxa"/>
            <w:gridSpan w:val="3"/>
            <w:noWrap w:val="0"/>
            <w:vAlign w:val="center"/>
          </w:tcPr>
          <w:p>
            <w:pPr>
              <w:spacing w:line="260" w:lineRule="exact"/>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574" w:type="dxa"/>
            <w:vMerge w:val="continue"/>
            <w:noWrap w:val="0"/>
            <w:vAlign w:val="center"/>
          </w:tcPr>
          <w:p>
            <w:pPr>
              <w:spacing w:line="560" w:lineRule="exact"/>
              <w:rPr>
                <w:rFonts w:ascii="Times New Roman" w:hAnsi="Times New Roman" w:eastAsia="方正仿宋_GBK"/>
                <w:sz w:val="24"/>
                <w:szCs w:val="24"/>
              </w:rPr>
            </w:pPr>
          </w:p>
        </w:tc>
        <w:tc>
          <w:tcPr>
            <w:tcW w:w="1316" w:type="dxa"/>
            <w:gridSpan w:val="3"/>
            <w:noWrap w:val="0"/>
            <w:vAlign w:val="center"/>
          </w:tcPr>
          <w:p>
            <w:pPr>
              <w:spacing w:line="560" w:lineRule="exact"/>
              <w:jc w:val="center"/>
              <w:rPr>
                <w:rFonts w:ascii="Times New Roman" w:hAnsi="Times New Roman" w:eastAsia="方正仿宋_GBK"/>
                <w:sz w:val="24"/>
                <w:szCs w:val="24"/>
              </w:rPr>
            </w:pPr>
            <w:r>
              <w:rPr>
                <w:rFonts w:hint="eastAsia" w:ascii="Times New Roman" w:hAnsi="Times New Roman" w:eastAsia="方正仿宋_GBK" w:cs="方正仿宋_GBK"/>
                <w:sz w:val="24"/>
                <w:szCs w:val="24"/>
              </w:rPr>
              <w:t>职业道德</w:t>
            </w:r>
          </w:p>
        </w:tc>
        <w:tc>
          <w:tcPr>
            <w:tcW w:w="3929" w:type="dxa"/>
            <w:gridSpan w:val="3"/>
            <w:noWrap w:val="0"/>
            <w:vAlign w:val="center"/>
          </w:tcPr>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1.私下接受当事人请托并接受宴请、收受财物的，扣5分；</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2.泄露、非法利用执业过程中知悉的国家秘密、商业秘密、技术秘密和个人隐私的，扣5分；</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3.因严重不负责任给当事人合法权益造成损失的，扣5分；</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4.诋毁同行、恶性竞争，造成不良影响的，扣5分；</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5.无正当理由，拒不参加司法行政机关组织的公益活动的,每次扣2分；</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6.违反职业道德、执业纪律其它情形的，扣2分。</w:t>
            </w:r>
          </w:p>
        </w:tc>
        <w:tc>
          <w:tcPr>
            <w:tcW w:w="526" w:type="dxa"/>
            <w:noWrap w:val="0"/>
            <w:vAlign w:val="center"/>
          </w:tcPr>
          <w:p>
            <w:pPr>
              <w:spacing w:line="260" w:lineRule="exact"/>
              <w:jc w:val="center"/>
              <w:rPr>
                <w:rFonts w:hint="eastAsia" w:ascii="Times New Roman" w:hAnsi="Times New Roman"/>
                <w:b/>
                <w:bCs/>
              </w:rPr>
            </w:pPr>
            <w:r>
              <w:rPr>
                <w:rFonts w:hint="eastAsia" w:ascii="Times New Roman" w:hAnsi="Times New Roman" w:eastAsia="方正仿宋_GBK"/>
                <w:sz w:val="24"/>
                <w:szCs w:val="24"/>
              </w:rPr>
              <w:t>25</w:t>
            </w:r>
          </w:p>
          <w:p>
            <w:pPr>
              <w:pStyle w:val="2"/>
              <w:spacing w:line="260" w:lineRule="exact"/>
              <w:ind w:firstLine="880" w:firstLineChars="0"/>
              <w:rPr>
                <w:rFonts w:hint="eastAsia"/>
              </w:rPr>
            </w:pPr>
          </w:p>
        </w:tc>
        <w:tc>
          <w:tcPr>
            <w:tcW w:w="2418" w:type="dxa"/>
            <w:gridSpan w:val="2"/>
            <w:noWrap w:val="0"/>
            <w:vAlign w:val="center"/>
          </w:tcPr>
          <w:p>
            <w:pPr>
              <w:spacing w:line="260" w:lineRule="exact"/>
              <w:rPr>
                <w:rFonts w:ascii="Times New Roman" w:hAnsi="Times New Roman" w:eastAsia="方正仿宋_GBK"/>
                <w:sz w:val="24"/>
                <w:szCs w:val="24"/>
              </w:rPr>
            </w:pPr>
          </w:p>
        </w:tc>
        <w:tc>
          <w:tcPr>
            <w:tcW w:w="1610" w:type="dxa"/>
            <w:noWrap w:val="0"/>
            <w:vAlign w:val="center"/>
          </w:tcPr>
          <w:p>
            <w:pPr>
              <w:spacing w:line="260" w:lineRule="exact"/>
              <w:rPr>
                <w:rFonts w:ascii="Times New Roman" w:hAnsi="Times New Roman" w:eastAsia="方正仿宋_GBK"/>
                <w:sz w:val="24"/>
                <w:szCs w:val="24"/>
              </w:rPr>
            </w:pPr>
          </w:p>
        </w:tc>
        <w:tc>
          <w:tcPr>
            <w:tcW w:w="1041" w:type="dxa"/>
            <w:gridSpan w:val="2"/>
            <w:noWrap w:val="0"/>
            <w:vAlign w:val="center"/>
          </w:tcPr>
          <w:p>
            <w:pPr>
              <w:spacing w:line="260" w:lineRule="exact"/>
              <w:rPr>
                <w:rFonts w:ascii="Times New Roman" w:hAnsi="Times New Roman" w:eastAsia="方正仿宋_GBK"/>
                <w:sz w:val="24"/>
                <w:szCs w:val="24"/>
              </w:rPr>
            </w:pPr>
          </w:p>
        </w:tc>
        <w:tc>
          <w:tcPr>
            <w:tcW w:w="1651" w:type="dxa"/>
            <w:gridSpan w:val="3"/>
            <w:noWrap w:val="0"/>
            <w:vAlign w:val="center"/>
          </w:tcPr>
          <w:p>
            <w:pPr>
              <w:spacing w:line="260" w:lineRule="exact"/>
              <w:rPr>
                <w:rFonts w:ascii="Times New Roman" w:hAnsi="Times New Roman" w:eastAsia="方正仿宋_GBK"/>
                <w:sz w:val="24"/>
                <w:szCs w:val="24"/>
              </w:rPr>
            </w:pPr>
          </w:p>
        </w:tc>
        <w:tc>
          <w:tcPr>
            <w:tcW w:w="1003" w:type="dxa"/>
            <w:gridSpan w:val="3"/>
            <w:noWrap w:val="0"/>
            <w:vAlign w:val="center"/>
          </w:tcPr>
          <w:p>
            <w:pPr>
              <w:spacing w:line="260" w:lineRule="exact"/>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5" w:hRule="atLeast"/>
          <w:jc w:val="center"/>
        </w:trPr>
        <w:tc>
          <w:tcPr>
            <w:tcW w:w="574" w:type="dxa"/>
            <w:vMerge w:val="continue"/>
            <w:noWrap w:val="0"/>
            <w:vAlign w:val="center"/>
          </w:tcPr>
          <w:p>
            <w:pPr>
              <w:spacing w:line="560" w:lineRule="exact"/>
              <w:rPr>
                <w:rFonts w:ascii="Times New Roman" w:hAnsi="Times New Roman" w:eastAsia="方正仿宋_GBK"/>
                <w:sz w:val="24"/>
                <w:szCs w:val="24"/>
              </w:rPr>
            </w:pPr>
          </w:p>
        </w:tc>
        <w:tc>
          <w:tcPr>
            <w:tcW w:w="1316" w:type="dxa"/>
            <w:gridSpan w:val="3"/>
            <w:noWrap w:val="0"/>
            <w:vAlign w:val="center"/>
          </w:tcPr>
          <w:p>
            <w:pPr>
              <w:spacing w:line="560" w:lineRule="exact"/>
              <w:jc w:val="center"/>
              <w:rPr>
                <w:rFonts w:ascii="Times New Roman" w:hAnsi="Times New Roman" w:eastAsia="方正仿宋_GBK"/>
                <w:sz w:val="24"/>
                <w:szCs w:val="24"/>
              </w:rPr>
            </w:pPr>
            <w:r>
              <w:rPr>
                <w:rFonts w:hint="eastAsia" w:ascii="Times New Roman" w:hAnsi="Times New Roman" w:eastAsia="方正仿宋_GBK" w:cs="方正仿宋_GBK"/>
                <w:sz w:val="24"/>
                <w:szCs w:val="24"/>
              </w:rPr>
              <w:t>其他</w:t>
            </w:r>
          </w:p>
        </w:tc>
        <w:tc>
          <w:tcPr>
            <w:tcW w:w="3929" w:type="dxa"/>
            <w:gridSpan w:val="3"/>
            <w:noWrap w:val="0"/>
            <w:vAlign w:val="center"/>
          </w:tcPr>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1.不积极参加司法鉴定行业专项活动，未完成目标任务的，扣5分；</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2.未按照司法行政机关要求参加调训的，每次扣1分；</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3.不配合司法行政机关办理投诉的，每次扣2分；</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4.办理重大鉴定事项，不按照规定报告司法行政机关的，每次扣1分；造成重大不良影响的，每次扣5分。</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5.拒绝接受司法行政机关监督、检查的，扣5分。</w:t>
            </w:r>
          </w:p>
        </w:tc>
        <w:tc>
          <w:tcPr>
            <w:tcW w:w="526" w:type="dxa"/>
            <w:noWrap w:val="0"/>
            <w:vAlign w:val="center"/>
          </w:tcPr>
          <w:p>
            <w:pPr>
              <w:spacing w:line="2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10</w:t>
            </w:r>
          </w:p>
        </w:tc>
        <w:tc>
          <w:tcPr>
            <w:tcW w:w="2418" w:type="dxa"/>
            <w:gridSpan w:val="2"/>
            <w:noWrap w:val="0"/>
            <w:vAlign w:val="center"/>
          </w:tcPr>
          <w:p>
            <w:pPr>
              <w:spacing w:line="260" w:lineRule="exact"/>
              <w:rPr>
                <w:rFonts w:ascii="Times New Roman" w:hAnsi="Times New Roman" w:eastAsia="方正仿宋_GBK"/>
                <w:sz w:val="24"/>
                <w:szCs w:val="24"/>
              </w:rPr>
            </w:pPr>
          </w:p>
        </w:tc>
        <w:tc>
          <w:tcPr>
            <w:tcW w:w="1610" w:type="dxa"/>
            <w:noWrap w:val="0"/>
            <w:vAlign w:val="center"/>
          </w:tcPr>
          <w:p>
            <w:pPr>
              <w:spacing w:line="260" w:lineRule="exact"/>
              <w:rPr>
                <w:rFonts w:ascii="Times New Roman" w:hAnsi="Times New Roman" w:eastAsia="方正仿宋_GBK"/>
                <w:sz w:val="24"/>
                <w:szCs w:val="24"/>
              </w:rPr>
            </w:pPr>
          </w:p>
        </w:tc>
        <w:tc>
          <w:tcPr>
            <w:tcW w:w="1041" w:type="dxa"/>
            <w:gridSpan w:val="2"/>
            <w:noWrap w:val="0"/>
            <w:vAlign w:val="center"/>
          </w:tcPr>
          <w:p>
            <w:pPr>
              <w:spacing w:line="260" w:lineRule="exact"/>
              <w:rPr>
                <w:rFonts w:ascii="Times New Roman" w:hAnsi="Times New Roman" w:eastAsia="方正仿宋_GBK"/>
                <w:sz w:val="24"/>
                <w:szCs w:val="24"/>
              </w:rPr>
            </w:pPr>
          </w:p>
        </w:tc>
        <w:tc>
          <w:tcPr>
            <w:tcW w:w="1651" w:type="dxa"/>
            <w:gridSpan w:val="3"/>
            <w:noWrap w:val="0"/>
            <w:vAlign w:val="center"/>
          </w:tcPr>
          <w:p>
            <w:pPr>
              <w:spacing w:line="260" w:lineRule="exact"/>
              <w:rPr>
                <w:rFonts w:ascii="Times New Roman" w:hAnsi="Times New Roman" w:eastAsia="方正仿宋_GBK"/>
                <w:sz w:val="24"/>
                <w:szCs w:val="24"/>
              </w:rPr>
            </w:pPr>
          </w:p>
        </w:tc>
        <w:tc>
          <w:tcPr>
            <w:tcW w:w="1003" w:type="dxa"/>
            <w:gridSpan w:val="3"/>
            <w:noWrap w:val="0"/>
            <w:vAlign w:val="center"/>
          </w:tcPr>
          <w:p>
            <w:pPr>
              <w:spacing w:line="260" w:lineRule="exact"/>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5" w:hRule="atLeast"/>
          <w:jc w:val="center"/>
        </w:trPr>
        <w:tc>
          <w:tcPr>
            <w:tcW w:w="1890" w:type="dxa"/>
            <w:gridSpan w:val="4"/>
            <w:noWrap w:val="0"/>
            <w:vAlign w:val="center"/>
          </w:tcPr>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加</w:t>
            </w:r>
          </w:p>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分</w:t>
            </w:r>
          </w:p>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指</w:t>
            </w:r>
          </w:p>
          <w:p>
            <w:pPr>
              <w:spacing w:line="56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sz w:val="24"/>
                <w:szCs w:val="24"/>
              </w:rPr>
              <w:t>标</w:t>
            </w:r>
          </w:p>
        </w:tc>
        <w:tc>
          <w:tcPr>
            <w:tcW w:w="3929" w:type="dxa"/>
            <w:gridSpan w:val="3"/>
            <w:noWrap w:val="0"/>
            <w:vAlign w:val="center"/>
          </w:tcPr>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1.参加司法部组织的活动获得优秀奖的，每个加1分；获得三等奖的，每个加2分；获得二等奖的，每个加3分；获得一等奖的，每个加5分；</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2.与司法鉴定相关的科研成果获得省部级科研成果奖的，加3分；获得国家级科研成果奖的，加5分；</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3.完成市司法局交办的科研任务的，每次加1分；完成司法部交办的科研任务的，每次加3分；</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4.编写的司法鉴定案例被最高法、最高检、司法部以及其他国家部委编入典型案例库的，每个加2分；</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5.</w:t>
            </w:r>
            <w:r>
              <w:rPr>
                <w:rFonts w:hint="eastAsia" w:ascii="Times New Roman" w:hAnsi="Times New Roman" w:eastAsia="方正仿宋_GBK"/>
                <w:spacing w:val="-17"/>
                <w:sz w:val="24"/>
                <w:szCs w:val="24"/>
              </w:rPr>
              <w:t>办理司法鉴定援助案件的，每例加2分；</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6.被省部级主要媒体正面报道的，每次加2分；被国家级主要媒体上正面报道的，每次加5分；</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7.在一般专业期刊发表司法鉴定论文的，每篇加1分；在中文核心专业期刊发表司法鉴定论文的，每篇加3分；出版与司法鉴定业务相关的专业著作的，每本加3分；参与司法鉴定教材编写的，每本加5分；</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8.参与</w:t>
            </w:r>
            <w:r>
              <w:rPr>
                <w:rFonts w:ascii="Times New Roman" w:hAnsi="Times New Roman" w:eastAsia="方正仿宋_GBK"/>
                <w:sz w:val="24"/>
                <w:szCs w:val="24"/>
              </w:rPr>
              <w:t>12348驻场法律服务</w:t>
            </w:r>
            <w:r>
              <w:rPr>
                <w:rFonts w:hint="eastAsia" w:ascii="Times New Roman" w:hAnsi="Times New Roman" w:eastAsia="方正仿宋_GBK"/>
                <w:sz w:val="24"/>
                <w:szCs w:val="24"/>
              </w:rPr>
              <w:t>的，加1分；</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9.被区县党委命名为“党员先锋岗”的，加2分；</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10.参与全国性司法鉴定学术研讨会、并作主题发言的，每次加2分；</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11.参与乡村振兴，免费提供司法鉴定咨询服务的，每次加2分；</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12.参加司法鉴定能力验证集中测试、结果为通过的，加1分；结果为满意的，加2分；</w:t>
            </w:r>
          </w:p>
          <w:p>
            <w:pPr>
              <w:spacing w:line="2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13.获得区县司法局表彰奖励的，加2分；获得区县党委政府、市司法局表彰奖励的，加3分；获得省部级表彰奖励的，加5分；获得国家级表彰奖励的，加10分。</w:t>
            </w:r>
          </w:p>
        </w:tc>
        <w:tc>
          <w:tcPr>
            <w:tcW w:w="526" w:type="dxa"/>
            <w:noWrap w:val="0"/>
            <w:vAlign w:val="center"/>
          </w:tcPr>
          <w:p>
            <w:pPr>
              <w:spacing w:line="260" w:lineRule="exact"/>
              <w:jc w:val="center"/>
              <w:rPr>
                <w:rFonts w:hint="eastAsia" w:ascii="Times New Roman" w:hAnsi="Times New Roman" w:eastAsia="方正仿宋_GBK"/>
                <w:sz w:val="24"/>
                <w:szCs w:val="24"/>
              </w:rPr>
            </w:pPr>
          </w:p>
          <w:p>
            <w:pPr>
              <w:spacing w:line="260" w:lineRule="exact"/>
              <w:jc w:val="center"/>
              <w:rPr>
                <w:rFonts w:hint="eastAsia" w:ascii="Times New Roman" w:hAnsi="Times New Roman" w:eastAsia="方正仿宋_GBK"/>
                <w:sz w:val="24"/>
                <w:szCs w:val="24"/>
              </w:rPr>
            </w:pPr>
          </w:p>
          <w:p>
            <w:pPr>
              <w:spacing w:line="260" w:lineRule="exact"/>
              <w:jc w:val="center"/>
              <w:rPr>
                <w:rFonts w:hint="eastAsia" w:ascii="Times New Roman" w:hAnsi="Times New Roman" w:eastAsia="方正仿宋_GBK"/>
                <w:sz w:val="24"/>
                <w:szCs w:val="24"/>
              </w:rPr>
            </w:pPr>
          </w:p>
          <w:p>
            <w:pPr>
              <w:spacing w:line="260" w:lineRule="exact"/>
              <w:jc w:val="center"/>
              <w:rPr>
                <w:rFonts w:hint="eastAsia" w:ascii="Times New Roman" w:hAnsi="Times New Roman" w:eastAsia="方正仿宋_GBK"/>
                <w:sz w:val="24"/>
                <w:szCs w:val="24"/>
              </w:rPr>
            </w:pPr>
          </w:p>
          <w:p>
            <w:pPr>
              <w:spacing w:line="2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10</w:t>
            </w:r>
          </w:p>
        </w:tc>
        <w:tc>
          <w:tcPr>
            <w:tcW w:w="2418" w:type="dxa"/>
            <w:gridSpan w:val="2"/>
            <w:noWrap w:val="0"/>
            <w:vAlign w:val="center"/>
          </w:tcPr>
          <w:p>
            <w:pPr>
              <w:spacing w:line="260" w:lineRule="exact"/>
              <w:rPr>
                <w:rFonts w:ascii="Times New Roman" w:hAnsi="Times New Roman" w:eastAsia="方正仿宋_GBK"/>
                <w:sz w:val="24"/>
                <w:szCs w:val="24"/>
              </w:rPr>
            </w:pPr>
          </w:p>
        </w:tc>
        <w:tc>
          <w:tcPr>
            <w:tcW w:w="1610" w:type="dxa"/>
            <w:noWrap w:val="0"/>
            <w:vAlign w:val="center"/>
          </w:tcPr>
          <w:p>
            <w:pPr>
              <w:spacing w:line="260" w:lineRule="exact"/>
              <w:rPr>
                <w:rFonts w:ascii="Times New Roman" w:hAnsi="Times New Roman" w:eastAsia="方正仿宋_GBK"/>
                <w:sz w:val="24"/>
                <w:szCs w:val="24"/>
              </w:rPr>
            </w:pPr>
          </w:p>
        </w:tc>
        <w:tc>
          <w:tcPr>
            <w:tcW w:w="1041" w:type="dxa"/>
            <w:gridSpan w:val="2"/>
            <w:noWrap w:val="0"/>
            <w:vAlign w:val="center"/>
          </w:tcPr>
          <w:p>
            <w:pPr>
              <w:spacing w:line="260" w:lineRule="exact"/>
              <w:rPr>
                <w:rFonts w:ascii="Times New Roman" w:hAnsi="Times New Roman" w:eastAsia="方正仿宋_GBK"/>
                <w:sz w:val="24"/>
                <w:szCs w:val="24"/>
              </w:rPr>
            </w:pPr>
          </w:p>
        </w:tc>
        <w:tc>
          <w:tcPr>
            <w:tcW w:w="1651" w:type="dxa"/>
            <w:gridSpan w:val="3"/>
            <w:noWrap w:val="0"/>
            <w:vAlign w:val="center"/>
          </w:tcPr>
          <w:p>
            <w:pPr>
              <w:spacing w:line="260" w:lineRule="exact"/>
              <w:rPr>
                <w:rFonts w:ascii="Times New Roman" w:hAnsi="Times New Roman" w:eastAsia="方正仿宋_GBK"/>
                <w:sz w:val="24"/>
                <w:szCs w:val="24"/>
              </w:rPr>
            </w:pPr>
          </w:p>
        </w:tc>
        <w:tc>
          <w:tcPr>
            <w:tcW w:w="1003" w:type="dxa"/>
            <w:gridSpan w:val="3"/>
            <w:noWrap w:val="0"/>
            <w:vAlign w:val="center"/>
          </w:tcPr>
          <w:p>
            <w:pPr>
              <w:spacing w:line="260" w:lineRule="exact"/>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5" w:hRule="atLeast"/>
          <w:jc w:val="center"/>
        </w:trPr>
        <w:tc>
          <w:tcPr>
            <w:tcW w:w="5819" w:type="dxa"/>
            <w:gridSpan w:val="7"/>
            <w:noWrap w:val="0"/>
            <w:vAlign w:val="center"/>
          </w:tcPr>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合计</w:t>
            </w:r>
          </w:p>
        </w:tc>
        <w:tc>
          <w:tcPr>
            <w:tcW w:w="526" w:type="dxa"/>
            <w:noWrap w:val="0"/>
            <w:vAlign w:val="center"/>
          </w:tcPr>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100</w:t>
            </w:r>
          </w:p>
        </w:tc>
        <w:tc>
          <w:tcPr>
            <w:tcW w:w="4028" w:type="dxa"/>
            <w:gridSpan w:val="3"/>
            <w:noWrap w:val="0"/>
            <w:vAlign w:val="center"/>
          </w:tcPr>
          <w:p>
            <w:pPr>
              <w:spacing w:line="5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自评得分</w:t>
            </w:r>
          </w:p>
        </w:tc>
        <w:tc>
          <w:tcPr>
            <w:tcW w:w="1041" w:type="dxa"/>
            <w:gridSpan w:val="2"/>
            <w:noWrap w:val="0"/>
            <w:vAlign w:val="center"/>
          </w:tcPr>
          <w:p>
            <w:pPr>
              <w:spacing w:line="560" w:lineRule="exact"/>
              <w:rPr>
                <w:rFonts w:ascii="Times New Roman" w:hAnsi="Times New Roman" w:eastAsia="方正仿宋_GBK"/>
                <w:sz w:val="24"/>
                <w:szCs w:val="24"/>
              </w:rPr>
            </w:pPr>
          </w:p>
        </w:tc>
        <w:tc>
          <w:tcPr>
            <w:tcW w:w="1651" w:type="dxa"/>
            <w:gridSpan w:val="3"/>
            <w:noWrap w:val="0"/>
            <w:vAlign w:val="center"/>
          </w:tcPr>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初评得分</w:t>
            </w:r>
          </w:p>
        </w:tc>
        <w:tc>
          <w:tcPr>
            <w:tcW w:w="1003" w:type="dxa"/>
            <w:gridSpan w:val="3"/>
            <w:noWrap w:val="0"/>
            <w:vAlign w:val="center"/>
          </w:tcPr>
          <w:p>
            <w:pPr>
              <w:spacing w:line="560" w:lineRule="exact"/>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8" w:hRule="atLeast"/>
          <w:jc w:val="center"/>
        </w:trPr>
        <w:tc>
          <w:tcPr>
            <w:tcW w:w="1582" w:type="dxa"/>
            <w:gridSpan w:val="3"/>
            <w:noWrap w:val="0"/>
            <w:vAlign w:val="center"/>
          </w:tcPr>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司法鉴定人</w:t>
            </w:r>
          </w:p>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自评意见</w:t>
            </w:r>
          </w:p>
        </w:tc>
        <w:tc>
          <w:tcPr>
            <w:tcW w:w="12486" w:type="dxa"/>
            <w:gridSpan w:val="16"/>
            <w:noWrap w:val="0"/>
            <w:vAlign w:val="center"/>
          </w:tcPr>
          <w:p>
            <w:pPr>
              <w:spacing w:line="5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经自查，个人自评得分为   分。</w:t>
            </w:r>
          </w:p>
          <w:p>
            <w:pPr>
              <w:spacing w:line="560" w:lineRule="exact"/>
              <w:rPr>
                <w:rFonts w:hint="eastAsia" w:ascii="Times New Roman" w:hAnsi="Times New Roman" w:eastAsia="方正仿宋_GBK"/>
                <w:sz w:val="24"/>
                <w:szCs w:val="24"/>
              </w:rPr>
            </w:pPr>
          </w:p>
          <w:p>
            <w:pPr>
              <w:spacing w:line="5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 xml:space="preserve">                                                                                    姓名：</w:t>
            </w:r>
          </w:p>
          <w:p>
            <w:pPr>
              <w:spacing w:line="560" w:lineRule="exact"/>
              <w:rPr>
                <w:rFonts w:ascii="Times New Roman" w:hAnsi="Times New Roman" w:eastAsia="方正仿宋_GBK"/>
                <w:sz w:val="24"/>
                <w:szCs w:val="24"/>
              </w:rPr>
            </w:pPr>
            <w:r>
              <w:rPr>
                <w:rFonts w:hint="eastAsia" w:ascii="Times New Roman" w:hAnsi="Times New Roman" w:eastAsia="方正仿宋_GBK"/>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1582" w:type="dxa"/>
            <w:gridSpan w:val="3"/>
            <w:noWrap w:val="0"/>
            <w:vAlign w:val="center"/>
          </w:tcPr>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司法鉴定机构</w:t>
            </w:r>
          </w:p>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评查意见</w:t>
            </w:r>
          </w:p>
        </w:tc>
        <w:tc>
          <w:tcPr>
            <w:tcW w:w="12486" w:type="dxa"/>
            <w:gridSpan w:val="16"/>
            <w:noWrap w:val="0"/>
            <w:vAlign w:val="center"/>
          </w:tcPr>
          <w:p>
            <w:pPr>
              <w:spacing w:line="5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经评查，该司法鉴定人得分为   分。</w:t>
            </w:r>
          </w:p>
          <w:p>
            <w:pPr>
              <w:spacing w:line="560" w:lineRule="exact"/>
              <w:rPr>
                <w:rFonts w:hint="eastAsia" w:ascii="Times New Roman" w:hAnsi="Times New Roman" w:eastAsia="方正仿宋_GBK"/>
                <w:sz w:val="24"/>
                <w:szCs w:val="24"/>
              </w:rPr>
            </w:pPr>
          </w:p>
          <w:p>
            <w:pPr>
              <w:spacing w:line="5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 xml:space="preserve">                                                                                            （盖章）</w:t>
            </w:r>
          </w:p>
          <w:p>
            <w:pPr>
              <w:spacing w:line="560" w:lineRule="exact"/>
              <w:rPr>
                <w:rFonts w:ascii="Times New Roman" w:hAnsi="Times New Roman" w:eastAsia="方正仿宋_GBK"/>
                <w:sz w:val="24"/>
                <w:szCs w:val="24"/>
              </w:rPr>
            </w:pPr>
            <w:r>
              <w:rPr>
                <w:rFonts w:hint="eastAsia" w:ascii="Times New Roman" w:hAnsi="Times New Roman" w:eastAsia="方正仿宋_GBK"/>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2" w:hRule="atLeast"/>
          <w:jc w:val="center"/>
        </w:trPr>
        <w:tc>
          <w:tcPr>
            <w:tcW w:w="1582" w:type="dxa"/>
            <w:gridSpan w:val="3"/>
            <w:noWrap w:val="0"/>
            <w:vAlign w:val="center"/>
          </w:tcPr>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区县司法局</w:t>
            </w:r>
          </w:p>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初评意见</w:t>
            </w:r>
          </w:p>
        </w:tc>
        <w:tc>
          <w:tcPr>
            <w:tcW w:w="12486" w:type="dxa"/>
            <w:gridSpan w:val="16"/>
            <w:noWrap w:val="0"/>
            <w:vAlign w:val="center"/>
          </w:tcPr>
          <w:p>
            <w:pPr>
              <w:spacing w:line="5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经初审，该司法鉴定人初评得分为   分，建议等级确定为    。</w:t>
            </w:r>
          </w:p>
          <w:p>
            <w:pPr>
              <w:spacing w:line="560" w:lineRule="exact"/>
              <w:rPr>
                <w:rFonts w:hint="eastAsia" w:ascii="Times New Roman" w:hAnsi="Times New Roman" w:eastAsia="方正仿宋_GBK"/>
                <w:sz w:val="24"/>
                <w:szCs w:val="24"/>
              </w:rPr>
            </w:pPr>
          </w:p>
          <w:p>
            <w:pPr>
              <w:spacing w:line="5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 xml:space="preserve">                                                                                             （盖章）</w:t>
            </w:r>
          </w:p>
          <w:p>
            <w:pPr>
              <w:spacing w:line="560" w:lineRule="exact"/>
              <w:rPr>
                <w:rFonts w:ascii="Times New Roman" w:hAnsi="Times New Roman" w:eastAsia="方正仿宋_GBK"/>
                <w:sz w:val="24"/>
                <w:szCs w:val="24"/>
              </w:rPr>
            </w:pPr>
            <w:r>
              <w:rPr>
                <w:rFonts w:hint="eastAsia" w:ascii="Times New Roman" w:hAnsi="Times New Roman" w:eastAsia="方正仿宋_GBK"/>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4" w:hRule="atLeast"/>
          <w:jc w:val="center"/>
        </w:trPr>
        <w:tc>
          <w:tcPr>
            <w:tcW w:w="1582" w:type="dxa"/>
            <w:gridSpan w:val="3"/>
            <w:noWrap w:val="0"/>
            <w:vAlign w:val="center"/>
          </w:tcPr>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市司法局</w:t>
            </w:r>
          </w:p>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评价结果</w:t>
            </w:r>
          </w:p>
        </w:tc>
        <w:tc>
          <w:tcPr>
            <w:tcW w:w="12486" w:type="dxa"/>
            <w:gridSpan w:val="16"/>
            <w:noWrap w:val="0"/>
            <w:vAlign w:val="center"/>
          </w:tcPr>
          <w:p>
            <w:pPr>
              <w:spacing w:line="5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经审查，该司法鉴定人评价得分为   分，等级确定为    。</w:t>
            </w:r>
          </w:p>
          <w:p>
            <w:pPr>
              <w:spacing w:line="560" w:lineRule="exact"/>
              <w:rPr>
                <w:rFonts w:hint="eastAsia" w:ascii="Times New Roman" w:hAnsi="Times New Roman" w:eastAsia="方正仿宋_GBK"/>
                <w:sz w:val="24"/>
                <w:szCs w:val="24"/>
              </w:rPr>
            </w:pPr>
          </w:p>
          <w:p>
            <w:pPr>
              <w:spacing w:line="560" w:lineRule="exact"/>
              <w:rPr>
                <w:rFonts w:hint="eastAsia" w:ascii="Times New Roman" w:hAnsi="Times New Roman" w:eastAsia="方正仿宋_GBK"/>
                <w:sz w:val="24"/>
                <w:szCs w:val="24"/>
              </w:rPr>
            </w:pPr>
            <w:r>
              <w:rPr>
                <w:rFonts w:hint="eastAsia" w:ascii="Times New Roman" w:hAnsi="Times New Roman" w:eastAsia="方正仿宋_GBK"/>
                <w:sz w:val="24"/>
                <w:szCs w:val="24"/>
              </w:rPr>
              <w:t xml:space="preserve">                                                                                             （盖章）</w:t>
            </w:r>
          </w:p>
          <w:p>
            <w:pPr>
              <w:spacing w:line="560" w:lineRule="exact"/>
              <w:rPr>
                <w:rFonts w:ascii="Times New Roman" w:hAnsi="Times New Roman" w:eastAsia="方正仿宋_GBK"/>
                <w:sz w:val="24"/>
                <w:szCs w:val="24"/>
              </w:rPr>
            </w:pPr>
            <w:r>
              <w:rPr>
                <w:rFonts w:hint="eastAsia" w:ascii="Times New Roman" w:hAnsi="Times New Roman" w:eastAsia="方正仿宋_GBK"/>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4" w:hRule="atLeast"/>
          <w:jc w:val="center"/>
        </w:trPr>
        <w:tc>
          <w:tcPr>
            <w:tcW w:w="1582" w:type="dxa"/>
            <w:gridSpan w:val="3"/>
            <w:noWrap w:val="0"/>
            <w:vAlign w:val="center"/>
          </w:tcPr>
          <w:p>
            <w:pPr>
              <w:spacing w:line="5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备注</w:t>
            </w:r>
          </w:p>
        </w:tc>
        <w:tc>
          <w:tcPr>
            <w:tcW w:w="12486" w:type="dxa"/>
            <w:gridSpan w:val="16"/>
            <w:noWrap w:val="0"/>
            <w:vAlign w:val="center"/>
          </w:tcPr>
          <w:p>
            <w:pPr>
              <w:spacing w:line="560" w:lineRule="exact"/>
              <w:rPr>
                <w:rFonts w:ascii="Times New Roman" w:hAnsi="Times New Roman" w:eastAsia="方正仿宋_GBK"/>
                <w:sz w:val="24"/>
                <w:szCs w:val="24"/>
              </w:rPr>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firstLineChars="200"/>
        <w:jc w:val="both"/>
        <w:rPr>
          <w:rFonts w:hint="eastAsia" w:ascii="方正仿宋_GBK" w:hAnsi="方正仿宋_GBK" w:eastAsia="方正仿宋_GBK" w:cs="方正仿宋_GBK"/>
          <w:b w:val="0"/>
          <w:i w:val="0"/>
          <w:caps w:val="0"/>
          <w:color w:val="000000"/>
          <w:spacing w:val="0"/>
          <w:sz w:val="31"/>
          <w:szCs w:val="31"/>
          <w:shd w:val="clear" w:fill="FFFFFF"/>
          <w:lang w:val="en-US" w:eastAsia="zh-CN"/>
        </w:rPr>
      </w:pPr>
    </w:p>
    <w:sectPr>
      <w:headerReference r:id="rId5" w:type="default"/>
      <w:footerReference r:id="rId6" w:type="default"/>
      <w:pgSz w:w="16838" w:h="11906" w:orient="landscape"/>
      <w:pgMar w:top="1587" w:right="1962" w:bottom="1474" w:left="184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00016" w:usb3="00000000" w:csb0="00040003"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微软雅黑">
    <w:panose1 w:val="020B0703020204020201"/>
    <w:charset w:val="86"/>
    <w:family w:val="auto"/>
    <w:pitch w:val="default"/>
    <w:sig w:usb0="80000287" w:usb1="0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800002BF" w:usb1="38C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Times New Roman Regular">
    <w:panose1 w:val="02020603050405020304"/>
    <w:charset w:val="00"/>
    <w:family w:val="auto"/>
    <w:pitch w:val="default"/>
    <w:sig w:usb0="E0002AEF" w:usb1="C0007841" w:usb2="00000009" w:usb3="00000000" w:csb0="400001FF" w:csb1="FFFF0000"/>
  </w:font>
  <w:font w:name="仿宋_GB2312">
    <w:altName w:val="方正仿宋_GBK"/>
    <w:panose1 w:val="02010609030101010101"/>
    <w:charset w:val="00"/>
    <w:family w:val="auto"/>
    <w:pitch w:val="default"/>
    <w:sig w:usb0="00000000" w:usb1="00000000" w:usb2="00000000" w:usb3="00000000" w:csb0="00040000" w:csb1="00000000"/>
  </w:font>
  <w:font w:name="一场不分手的恋爱">
    <w:panose1 w:val="02000000000000000000"/>
    <w:charset w:val="86"/>
    <w:family w:val="auto"/>
    <w:pitch w:val="default"/>
    <w:sig w:usb0="00000001" w:usb1="08010410" w:usb2="00000012" w:usb3="00000000" w:csb0="00140001" w:csb1="00000000"/>
  </w:font>
  <w:font w:name="宋体-简">
    <w:panose1 w:val="02010800040101010101"/>
    <w:charset w:val="86"/>
    <w:family w:val="auto"/>
    <w:pitch w:val="default"/>
    <w:sig w:usb0="00000001" w:usb1="080F0000" w:usb2="00000000" w:usb3="00000000" w:csb0="00040000" w:csb1="00000000"/>
  </w:font>
  <w:font w:name="方正汉真广标简体">
    <w:panose1 w:val="02000000000000000000"/>
    <w:charset w:val="86"/>
    <w:family w:val="auto"/>
    <w:pitch w:val="default"/>
    <w:sig w:usb0="00000001" w:usb1="08000000" w:usb2="00000000" w:usb3="00000000" w:csb0="00040000" w:csb1="00000000"/>
  </w:font>
  <w:font w:name="Al Tarikh">
    <w:panose1 w:val="00000400000000000000"/>
    <w:charset w:val="00"/>
    <w:family w:val="auto"/>
    <w:pitch w:val="default"/>
    <w:sig w:usb0="00000003" w:usb1="00000000" w:usb2="00000000" w:usb3="00000000" w:csb0="00000001" w:csb1="00000000"/>
  </w:font>
  <w:font w:name="Andale Mono">
    <w:panose1 w:val="020B0509000000000004"/>
    <w:charset w:val="00"/>
    <w:family w:val="auto"/>
    <w:pitch w:val="default"/>
    <w:sig w:usb0="00000287" w:usb1="00000000" w:usb2="00000000" w:usb3="00000000" w:csb0="6000009F" w:csb1="DFD70000"/>
  </w:font>
  <w:font w:name="Arial Black">
    <w:panose1 w:val="020B0A04020102020204"/>
    <w:charset w:val="00"/>
    <w:family w:val="auto"/>
    <w:pitch w:val="default"/>
    <w:sig w:usb0="00000287" w:usb1="00000000" w:usb2="00000000" w:usb3="00000000" w:csb0="2000009F" w:csb1="DFD70000"/>
  </w:font>
  <w:font w:name="Apple Chancery">
    <w:panose1 w:val="03020702040506060504"/>
    <w:charset w:val="00"/>
    <w:family w:val="auto"/>
    <w:pitch w:val="default"/>
    <w:sig w:usb0="80000067" w:usb1="00000003" w:usb2="00000000" w:usb3="00000000" w:csb0="200001F3" w:csb1="CDFC0000"/>
  </w:font>
  <w:font w:name="华康搞怪水瓶体 W7">
    <w:panose1 w:val="040B0709000000000000"/>
    <w:charset w:val="86"/>
    <w:family w:val="auto"/>
    <w:pitch w:val="default"/>
    <w:sig w:usb0="A00002BF" w:usb1="384F6CFA" w:usb2="00000012" w:usb3="00000000" w:csb0="00040001" w:csb1="00000000"/>
  </w:font>
  <w:font w:name="一只喵的碎碎念">
    <w:panose1 w:val="00000000000000000000"/>
    <w:charset w:val="86"/>
    <w:family w:val="auto"/>
    <w:pitch w:val="default"/>
    <w:sig w:usb0="00000001" w:usb1="08010410" w:usb2="00000012" w:usb3="00000000" w:csb0="00040001" w:csb1="00000000"/>
  </w:font>
  <w:font w:name="標楷體">
    <w:panose1 w:val="02010601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220980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15pt;width:442.25pt;z-index:251660288;mso-width-relative:page;mso-height-relative:page;" filled="f" stroked="t" coordsize="21600,21600" o:gfxdata="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nrhQB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w:t xml:space="preserve">                                                               </w:t>
    </w:r>
  </w:p>
  <w:p>
    <w:pPr>
      <w:pStyle w:val="7"/>
      <w:wordWrap w:val="0"/>
      <w:ind w:left="2734" w:leftChars="895" w:hanging="855" w:hangingChars="305"/>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w:t>
    </w:r>
    <w:r>
      <w:rPr>
        <w:rFonts w:hint="eastAsia" w:ascii="宋体" w:hAnsi="宋体" w:eastAsia="宋体" w:cs="宋体"/>
        <w:b/>
        <w:bCs/>
        <w:color w:val="005192"/>
        <w:sz w:val="28"/>
        <w:szCs w:val="44"/>
        <w:lang w:val="en-US" w:eastAsia="zh-Hans"/>
      </w:rPr>
      <w:t>司法局</w:t>
    </w:r>
    <w:r>
      <w:rPr>
        <w:rFonts w:hint="eastAsia" w:ascii="宋体" w:hAnsi="宋体" w:eastAsia="宋体" w:cs="宋体"/>
        <w:b/>
        <w:bCs/>
        <w:color w:val="005192"/>
        <w:sz w:val="28"/>
        <w:szCs w:val="44"/>
        <w:lang w:eastAsia="zh-CN"/>
      </w:rPr>
      <w:t>发布</w:t>
    </w:r>
    <w:r>
      <w:rPr>
        <w:rFonts w:hint="eastAsia" w:ascii="宋体" w:hAnsi="宋体" w:eastAsia="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p>
    <w:pPr>
      <w:pStyle w:val="7"/>
      <w:wordWrap w:val="0"/>
      <w:ind w:left="4788" w:leftChars="2280" w:firstLine="5606"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220980</wp:posOffset>
              </wp:positionV>
              <wp:extent cx="82124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821245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pt;width:646.65pt;z-index:251664384;mso-width-relative:page;mso-height-relative:page;" filled="f" stroked="t" coordsize="21600,21600" o:gfxdata="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JEm0rLTAAAABwEAAA8AAAAA&#10;AAAAAQAgAAAAOAAAAGRycy9kb3ducmV2LnhtbFBLAQIUABQAAAAIAIdO4kDZwUTHygEAAGQDAAAO&#10;AAAAAAAAAAEAIAAAADgBAABkcnMvZTJvRG9jLnhtbFBLBQYAAAAABgAGAFkBAAB0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w:t xml:space="preserve">                                                               </w:t>
    </w:r>
  </w:p>
  <w:p>
    <w:pPr>
      <w:pStyle w:val="7"/>
      <w:wordWrap w:val="0"/>
      <w:ind w:left="2734" w:leftChars="895" w:hanging="855" w:hangingChars="305"/>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r>
      <w:rPr>
        <w:rFonts w:hint="eastAsia" w:ascii="宋体" w:hAnsi="宋体" w:eastAsia="宋体" w:cs="宋体"/>
        <w:b/>
        <w:bCs/>
        <w:color w:val="005192"/>
        <w:sz w:val="28"/>
        <w:szCs w:val="44"/>
        <w:lang w:eastAsia="zh-CN"/>
      </w:rPr>
      <w:t>重庆市</w:t>
    </w:r>
    <w:r>
      <w:rPr>
        <w:rFonts w:hint="eastAsia" w:ascii="宋体" w:hAnsi="宋体" w:eastAsia="宋体" w:cs="宋体"/>
        <w:b/>
        <w:bCs/>
        <w:color w:val="005192"/>
        <w:sz w:val="28"/>
        <w:szCs w:val="44"/>
        <w:lang w:val="en-US" w:eastAsia="zh-Hans"/>
      </w:rPr>
      <w:t>司法局</w:t>
    </w:r>
    <w:r>
      <w:rPr>
        <w:rFonts w:hint="eastAsia" w:ascii="宋体" w:hAnsi="宋体" w:eastAsia="宋体" w:cs="宋体"/>
        <w:b/>
        <w:bCs/>
        <w:color w:val="005192"/>
        <w:sz w:val="28"/>
        <w:szCs w:val="44"/>
        <w:lang w:eastAsia="zh-CN"/>
      </w:rPr>
      <w:t>发布</w:t>
    </w:r>
    <w:r>
      <w:rPr>
        <w:rFonts w:hint="eastAsia" w:ascii="宋体" w:hAnsi="宋体" w:eastAsia="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p>
    <w:pPr>
      <w:pStyle w:val="7"/>
      <w:wordWrap w:val="0"/>
      <w:ind w:left="4788" w:leftChars="2280" w:firstLine="5606"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重庆市司法局行政规范性文件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690245</wp:posOffset>
              </wp:positionV>
              <wp:extent cx="8235950"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82359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648.5pt;z-index:251671552;mso-width-relative:page;mso-height-relative:page;" filled="f" stroked="t" coordsize="21600,21600" o:gfxdata="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Beir&#10;etMAAAAJAQAADwAAAAAAAAABACAAAAA4AAAAZHJzL2Rvd25yZXYueG1sUEsBAhQAFAAAAAgAh07i&#10;QB4USTDYAQAAbwMAAA4AAAAAAAAAAQAgAAAAOAEAAGRycy9lMm9Eb2MueG1sUEsFBgAAAAAGAAYA&#10;WQEAAII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21590" b="2159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重庆市司法局行政规范性文件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tentative="0">
      <w:start w:val="1"/>
      <w:numFmt w:val="decimal"/>
      <w:pStyle w:val="2"/>
      <w:suff w:val="space"/>
      <w:lvlText w:val="%1"/>
      <w:lvlJc w:val="left"/>
      <w:pPr>
        <w:ind w:left="0" w:firstLine="0"/>
      </w:pPr>
      <w:rPr>
        <w:rFonts w:hint="default" w:ascii="Times New Roman" w:hAnsi="Times New Roman"/>
        <w:b/>
        <w:i w:val="0"/>
        <w:sz w:val="30"/>
        <w:szCs w:val="24"/>
      </w:rPr>
    </w:lvl>
    <w:lvl w:ilvl="1" w:tentative="0">
      <w:start w:val="1"/>
      <w:numFmt w:val="decimal"/>
      <w:pStyle w:val="3"/>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BEB6437"/>
    <w:rsid w:val="6D0E3F22"/>
    <w:rsid w:val="744E4660"/>
    <w:rsid w:val="753355A2"/>
    <w:rsid w:val="759F1C61"/>
    <w:rsid w:val="75A75EC4"/>
    <w:rsid w:val="769F2DE8"/>
    <w:rsid w:val="76FDEB7C"/>
    <w:rsid w:val="79C65162"/>
    <w:rsid w:val="7C9011D9"/>
    <w:rsid w:val="7DC651C5"/>
    <w:rsid w:val="7FCC2834"/>
    <w:rsid w:val="92DD1CEF"/>
    <w:rsid w:val="B47A3AE1"/>
    <w:rsid w:val="F05B4F69"/>
    <w:rsid w:val="F97D9566"/>
    <w:rsid w:val="FDFF411C"/>
    <w:rsid w:val="FFFB63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ind w:firstLine="0" w:firstLineChars="0"/>
      <w:jc w:val="left"/>
      <w:outlineLvl w:val="0"/>
    </w:pPr>
    <w:rPr>
      <w:rFonts w:eastAsia="黑体"/>
      <w:b/>
      <w:bCs/>
      <w:szCs w:val="32"/>
    </w:rPr>
  </w:style>
  <w:style w:type="paragraph" w:styleId="3">
    <w:name w:val="heading 2"/>
    <w:basedOn w:val="1"/>
    <w:next w:val="1"/>
    <w:qFormat/>
    <w:uiPriority w:val="0"/>
    <w:pPr>
      <w:numPr>
        <w:ilvl w:val="1"/>
        <w:numId w:val="1"/>
      </w:numPr>
      <w:ind w:firstLine="0" w:firstLineChars="0"/>
      <w:jc w:val="left"/>
      <w:outlineLvl w:val="1"/>
    </w:pPr>
    <w:rPr>
      <w:b/>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0"/>
    <w:pPr>
      <w:spacing w:before="240" w:after="60"/>
      <w:jc w:val="center"/>
      <w:outlineLvl w:val="0"/>
    </w:pPr>
    <w:rPr>
      <w:rFonts w:ascii="Cambria" w:hAnsi="Cambria" w:eastAsia="宋体" w:cs="Times New Roman"/>
      <w:b/>
      <w:bCs/>
    </w:rPr>
  </w:style>
  <w:style w:type="character" w:styleId="11">
    <w:name w:val="Strong"/>
    <w:basedOn w:val="10"/>
    <w:qFormat/>
    <w:uiPriority w:val="0"/>
    <w:rPr>
      <w:b/>
      <w:bCs/>
    </w:rPr>
  </w:style>
  <w:style w:type="character" w:styleId="12">
    <w:name w:val="page number"/>
    <w:qFormat/>
    <w:uiPriority w:val="0"/>
    <w:rPr>
      <w:rFonts w:eastAsia="宋体"/>
      <w:sz w:val="18"/>
    </w:rPr>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7192</Words>
  <Characters>7386</Characters>
  <Lines>1</Lines>
  <Paragraphs>1</Paragraphs>
  <ScaleCrop>false</ScaleCrop>
  <LinksUpToDate>false</LinksUpToDate>
  <CharactersWithSpaces>8852</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xushenxian</cp:lastModifiedBy>
  <cp:lastPrinted>2022-05-12T00:46:00Z</cp:lastPrinted>
  <dcterms:modified xsi:type="dcterms:W3CDTF">2022-06-21T14:57:46Z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