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70" w:lineRule="exact"/>
        <w:ind w:left="0" w:leftChars="0" w:right="0" w:rightChars="0" w:firstLine="0" w:firstLineChars="0"/>
        <w:jc w:val="center"/>
        <w:textAlignment w:val="auto"/>
        <w:outlineLvl w:val="9"/>
        <w:rPr>
          <w:rFonts w:hint="eastAsia" w:ascii="Times New Roman" w:hAnsi="Times New Roman" w:eastAsia="方正小标宋_GBK" w:cs="方正小标宋_GBK"/>
          <w:sz w:val="44"/>
          <w:szCs w:val="44"/>
        </w:rPr>
      </w:pPr>
      <w:r>
        <w:rPr>
          <w:rFonts w:ascii="Times New Roman" w:hAnsi="Times New Roman" w:eastAsia="方正仿宋_GBK"/>
          <w:kern w:val="0"/>
          <w:sz w:val="32"/>
          <w:szCs w:val="32"/>
        </w:rPr>
        <w:t xml:space="preserve"> </w:t>
      </w:r>
      <w:r>
        <w:rPr>
          <w:rFonts w:hint="eastAsia" w:ascii="Times New Roman" w:hAnsi="Times New Roman" w:eastAsia="方正小标宋_GBK" w:cs="方正小标宋_GBK"/>
          <w:sz w:val="44"/>
          <w:szCs w:val="44"/>
        </w:rPr>
        <w:t>重庆市司法局</w:t>
      </w:r>
    </w:p>
    <w:p>
      <w:pPr>
        <w:keepNext w:val="0"/>
        <w:keepLines w:val="0"/>
        <w:pageBreakBefore w:val="0"/>
        <w:widowControl w:val="0"/>
        <w:kinsoku/>
        <w:wordWrap/>
        <w:overflowPunct/>
        <w:topLinePunct w:val="0"/>
        <w:autoSpaceDE/>
        <w:autoSpaceDN/>
        <w:bidi w:val="0"/>
        <w:adjustRightInd w:val="0"/>
        <w:snapToGrid w:val="0"/>
        <w:spacing w:line="570" w:lineRule="exact"/>
        <w:ind w:left="0" w:leftChars="0" w:right="0" w:rightChars="0" w:firstLine="0" w:firstLineChars="0"/>
        <w:jc w:val="center"/>
        <w:textAlignment w:val="auto"/>
        <w:outlineLvl w:val="9"/>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关于市六届人大四次会议</w:t>
      </w:r>
    </w:p>
    <w:p>
      <w:pPr>
        <w:keepNext w:val="0"/>
        <w:keepLines w:val="0"/>
        <w:pageBreakBefore w:val="0"/>
        <w:widowControl w:val="0"/>
        <w:kinsoku/>
        <w:wordWrap/>
        <w:overflowPunct/>
        <w:topLinePunct w:val="0"/>
        <w:autoSpaceDE/>
        <w:autoSpaceDN/>
        <w:bidi w:val="0"/>
        <w:adjustRightInd w:val="0"/>
        <w:snapToGrid w:val="0"/>
        <w:spacing w:line="570" w:lineRule="exact"/>
        <w:ind w:left="0" w:leftChars="0" w:right="0" w:rightChars="0" w:firstLine="0" w:firstLineChars="0"/>
        <w:jc w:val="center"/>
        <w:textAlignment w:val="auto"/>
        <w:outlineLvl w:val="9"/>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第0418号</w:t>
      </w:r>
      <w:r>
        <w:rPr>
          <w:rFonts w:hint="eastAsia" w:ascii="Times New Roman" w:hAnsi="Times New Roman" w:eastAsia="方正小标宋_GBK" w:cs="方正小标宋_GBK"/>
          <w:sz w:val="44"/>
          <w:szCs w:val="44"/>
          <w:lang w:eastAsia="zh-CN"/>
        </w:rPr>
        <w:t>代表</w:t>
      </w:r>
      <w:r>
        <w:rPr>
          <w:rFonts w:hint="eastAsia" w:ascii="Times New Roman" w:hAnsi="Times New Roman" w:eastAsia="方正小标宋_GBK" w:cs="方正小标宋_GBK"/>
          <w:sz w:val="44"/>
          <w:szCs w:val="44"/>
        </w:rPr>
        <w:t>建议办理情况的答复函</w:t>
      </w:r>
    </w:p>
    <w:p>
      <w:pPr>
        <w:keepNext w:val="0"/>
        <w:keepLines w:val="0"/>
        <w:pageBreakBefore w:val="0"/>
        <w:widowControl w:val="0"/>
        <w:kinsoku/>
        <w:wordWrap/>
        <w:overflowPunct/>
        <w:topLinePunct w:val="0"/>
        <w:autoSpaceDE/>
        <w:autoSpaceDN/>
        <w:bidi w:val="0"/>
        <w:adjustRightInd w:val="0"/>
        <w:snapToGrid w:val="0"/>
        <w:spacing w:line="570" w:lineRule="exact"/>
        <w:ind w:left="0" w:leftChars="0" w:right="0" w:rightChars="0" w:firstLine="0" w:firstLineChars="0"/>
        <w:jc w:val="both"/>
        <w:textAlignment w:val="auto"/>
        <w:outlineLvl w:val="9"/>
        <w:rPr>
          <w:rFonts w:hint="eastAsia" w:ascii="Times New Roman" w:hAnsi="Times New Roman"/>
        </w:rPr>
      </w:pPr>
    </w:p>
    <w:p>
      <w:pPr>
        <w:keepNext w:val="0"/>
        <w:keepLines w:val="0"/>
        <w:pageBreakBefore w:val="0"/>
        <w:widowControl w:val="0"/>
        <w:kinsoku/>
        <w:wordWrap/>
        <w:overflowPunct/>
        <w:topLinePunct w:val="0"/>
        <w:autoSpaceDE/>
        <w:autoSpaceDN/>
        <w:bidi w:val="0"/>
        <w:adjustRightInd w:val="0"/>
        <w:snapToGrid w:val="0"/>
        <w:spacing w:line="570" w:lineRule="exact"/>
        <w:ind w:left="0" w:leftChars="0" w:right="0" w:rightChars="0"/>
        <w:jc w:val="left"/>
        <w:textAlignment w:val="auto"/>
        <w:rPr>
          <w:rFonts w:ascii="Times New Roman" w:hAnsi="Times New Roman" w:eastAsia="方正仿宋_GBK" w:cs="宋体"/>
          <w:kern w:val="0"/>
          <w:sz w:val="32"/>
          <w:szCs w:val="32"/>
        </w:rPr>
      </w:pPr>
      <w:r>
        <w:rPr>
          <w:rFonts w:hint="eastAsia" w:ascii="Times New Roman" w:hAnsi="Times New Roman" w:eastAsia="方正仿宋_GBK" w:cs="宋体"/>
          <w:kern w:val="0"/>
          <w:sz w:val="32"/>
          <w:szCs w:val="32"/>
        </w:rPr>
        <w:t>孙文武代表：</w:t>
      </w:r>
    </w:p>
    <w:p>
      <w:pPr>
        <w:keepNext w:val="0"/>
        <w:keepLines w:val="0"/>
        <w:pageBreakBefore w:val="0"/>
        <w:widowControl w:val="0"/>
        <w:kinsoku/>
        <w:wordWrap/>
        <w:overflowPunct/>
        <w:topLinePunct w:val="0"/>
        <w:autoSpaceDE/>
        <w:autoSpaceDN/>
        <w:bidi w:val="0"/>
        <w:adjustRightInd w:val="0"/>
        <w:snapToGrid w:val="0"/>
        <w:spacing w:line="570" w:lineRule="exact"/>
        <w:ind w:left="0" w:leftChars="0" w:right="0" w:rightChars="0" w:firstLine="640" w:firstLineChars="200"/>
        <w:jc w:val="both"/>
        <w:textAlignment w:val="auto"/>
        <w:outlineLvl w:val="9"/>
        <w:rPr>
          <w:rFonts w:hint="eastAsia" w:ascii="Times New Roman" w:hAnsi="Times New Roman"/>
        </w:rPr>
      </w:pPr>
      <w:r>
        <w:rPr>
          <w:rFonts w:hint="eastAsia" w:ascii="Times New Roman" w:hAnsi="Times New Roman" w:eastAsia="方正仿宋_GBK" w:cs="宋体"/>
          <w:kern w:val="0"/>
          <w:sz w:val="32"/>
          <w:szCs w:val="32"/>
          <w:lang w:eastAsia="zh-CN"/>
        </w:rPr>
        <w:t>您</w:t>
      </w:r>
      <w:r>
        <w:rPr>
          <w:rFonts w:hint="eastAsia" w:ascii="Times New Roman" w:hAnsi="Times New Roman" w:eastAsia="方正仿宋_GBK" w:cs="宋体"/>
          <w:kern w:val="0"/>
          <w:sz w:val="32"/>
          <w:szCs w:val="32"/>
        </w:rPr>
        <w:t>提出的《关于加快构建高质量民族地区公共法律服务体系支持黔江打造</w:t>
      </w:r>
      <w:bookmarkStart w:id="0" w:name="OLE_LINK2"/>
      <w:r>
        <w:rPr>
          <w:rFonts w:hint="eastAsia" w:ascii="Times New Roman" w:hAnsi="Times New Roman" w:eastAsia="方正仿宋_GBK" w:cs="宋体"/>
          <w:kern w:val="0"/>
          <w:sz w:val="32"/>
          <w:szCs w:val="32"/>
        </w:rPr>
        <w:t>武陵山区域</w:t>
      </w:r>
      <w:bookmarkEnd w:id="0"/>
      <w:r>
        <w:rPr>
          <w:rFonts w:hint="eastAsia" w:ascii="Times New Roman" w:hAnsi="Times New Roman" w:eastAsia="方正仿宋_GBK" w:cs="宋体"/>
          <w:kern w:val="0"/>
          <w:sz w:val="32"/>
          <w:szCs w:val="32"/>
        </w:rPr>
        <w:t>法律服务中心的建议》（第0418号）收悉。经与市财政局</w:t>
      </w:r>
      <w:r>
        <w:rPr>
          <w:rFonts w:hint="eastAsia" w:ascii="Times New Roman" w:hAnsi="Times New Roman" w:eastAsia="方正仿宋_GBK" w:cs="宋体"/>
          <w:kern w:val="0"/>
          <w:sz w:val="32"/>
          <w:szCs w:val="32"/>
          <w:lang w:eastAsia="zh-CN"/>
        </w:rPr>
        <w:t>、</w:t>
      </w:r>
      <w:r>
        <w:rPr>
          <w:rFonts w:hint="eastAsia" w:ascii="Times New Roman" w:hAnsi="Times New Roman" w:eastAsia="方正仿宋_GBK" w:cs="宋体"/>
          <w:kern w:val="0"/>
          <w:sz w:val="32"/>
          <w:szCs w:val="32"/>
        </w:rPr>
        <w:t>市高级人民法院</w:t>
      </w:r>
      <w:r>
        <w:rPr>
          <w:rFonts w:hint="eastAsia" w:ascii="Times New Roman" w:hAnsi="Times New Roman" w:eastAsia="方正仿宋_GBK" w:cs="宋体"/>
          <w:kern w:val="0"/>
          <w:sz w:val="32"/>
          <w:szCs w:val="32"/>
          <w:lang w:eastAsia="zh-CN"/>
        </w:rPr>
        <w:t>、</w:t>
      </w:r>
      <w:r>
        <w:rPr>
          <w:rFonts w:hint="eastAsia" w:ascii="Times New Roman" w:hAnsi="Times New Roman" w:eastAsia="方正仿宋_GBK" w:cs="宋体"/>
          <w:kern w:val="0"/>
          <w:sz w:val="32"/>
          <w:szCs w:val="32"/>
        </w:rPr>
        <w:t>市人民检察院</w:t>
      </w:r>
      <w:r>
        <w:rPr>
          <w:rFonts w:hint="eastAsia" w:ascii="Times New Roman" w:hAnsi="Times New Roman" w:eastAsia="方正仿宋_GBK" w:cs="宋体"/>
          <w:kern w:val="0"/>
          <w:sz w:val="32"/>
          <w:szCs w:val="32"/>
          <w:lang w:eastAsia="zh-CN"/>
        </w:rPr>
        <w:t>等</w:t>
      </w:r>
      <w:r>
        <w:rPr>
          <w:rFonts w:hint="eastAsia" w:ascii="Times New Roman" w:hAnsi="Times New Roman" w:eastAsia="方正仿宋_GBK" w:cs="宋体"/>
          <w:kern w:val="0"/>
          <w:sz w:val="32"/>
          <w:szCs w:val="32"/>
        </w:rPr>
        <w:t>协办单位共同研究办理，强化政策与资金保障</w:t>
      </w:r>
      <w:r>
        <w:rPr>
          <w:rFonts w:hint="eastAsia" w:ascii="Times New Roman" w:hAnsi="Times New Roman" w:eastAsia="方正仿宋_GBK" w:cs="宋体"/>
          <w:kern w:val="0"/>
          <w:sz w:val="32"/>
          <w:szCs w:val="32"/>
          <w:lang w:eastAsia="zh-CN"/>
        </w:rPr>
        <w:t>、</w:t>
      </w:r>
      <w:r>
        <w:rPr>
          <w:rFonts w:hint="eastAsia" w:ascii="Times New Roman" w:hAnsi="Times New Roman" w:eastAsia="方正仿宋_GBK" w:cs="宋体"/>
          <w:kern w:val="0"/>
          <w:sz w:val="32"/>
          <w:szCs w:val="32"/>
        </w:rPr>
        <w:t>构建多层次服务网络</w:t>
      </w:r>
      <w:r>
        <w:rPr>
          <w:rFonts w:hint="eastAsia" w:ascii="Times New Roman" w:hAnsi="Times New Roman" w:eastAsia="方正仿宋_GBK" w:cs="宋体"/>
          <w:kern w:val="0"/>
          <w:sz w:val="32"/>
          <w:szCs w:val="32"/>
          <w:lang w:eastAsia="zh-CN"/>
        </w:rPr>
        <w:t>、实施人才“引育留用”工程、深化区域协同与资源共享、加强民族特色法治文化建设等主要事项已经采纳解决；其中</w:t>
      </w:r>
      <w:r>
        <w:rPr>
          <w:rFonts w:ascii="Times New Roman" w:hAnsi="Times New Roman" w:eastAsia="方正仿宋_GBK"/>
          <w:sz w:val="32"/>
        </w:rPr>
        <w:t>设立市级</w:t>
      </w:r>
      <w:r>
        <w:rPr>
          <w:rFonts w:hint="eastAsia" w:ascii="Times New Roman" w:hAnsi="Times New Roman" w:eastAsia="方正仿宋_GBK"/>
          <w:sz w:val="32"/>
        </w:rPr>
        <w:t>10亿元以上</w:t>
      </w:r>
      <w:r>
        <w:rPr>
          <w:rFonts w:hint="eastAsia" w:ascii="Times New Roman" w:hAnsi="Times New Roman" w:eastAsia="方正仿宋_GBK"/>
          <w:sz w:val="32"/>
          <w:lang w:eastAsia="zh-CN"/>
        </w:rPr>
        <w:t>规模</w:t>
      </w:r>
      <w:r>
        <w:rPr>
          <w:rFonts w:hint="eastAsia" w:ascii="Times New Roman" w:hAnsi="Times New Roman" w:eastAsia="方正仿宋_GBK"/>
          <w:sz w:val="32"/>
        </w:rPr>
        <w:t>“民族地区法治发展基金”</w:t>
      </w:r>
      <w:r>
        <w:rPr>
          <w:rFonts w:hint="eastAsia" w:ascii="Times New Roman" w:hAnsi="Times New Roman" w:eastAsia="方正仿宋_GBK" w:cs="宋体"/>
          <w:kern w:val="0"/>
          <w:sz w:val="32"/>
          <w:szCs w:val="32"/>
          <w:lang w:eastAsia="zh-CN"/>
        </w:rPr>
        <w:t>事项，不具备解决条件</w:t>
      </w:r>
      <w:r>
        <w:rPr>
          <w:rFonts w:hint="eastAsia" w:ascii="Times New Roman" w:hAnsi="Times New Roman" w:eastAsia="方正仿宋_GBK" w:cs="宋体"/>
          <w:kern w:val="0"/>
          <w:sz w:val="32"/>
          <w:szCs w:val="32"/>
        </w:rPr>
        <w:t>。</w:t>
      </w:r>
      <w:r>
        <w:rPr>
          <w:rFonts w:hint="eastAsia" w:ascii="Times New Roman" w:hAnsi="Times New Roman" w:eastAsia="方正仿宋_GBK" w:cs="宋体"/>
          <w:kern w:val="0"/>
          <w:sz w:val="32"/>
          <w:szCs w:val="32"/>
          <w:lang w:eastAsia="zh-CN"/>
        </w:rPr>
        <w:t>现将办理情况答复如下。</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right="0" w:rightChars="0" w:firstLine="640" w:firstLineChars="200"/>
        <w:jc w:val="both"/>
        <w:textAlignment w:val="auto"/>
        <w:outlineLvl w:val="9"/>
        <w:rPr>
          <w:rFonts w:hint="eastAsia" w:ascii="Times New Roman" w:hAnsi="Times New Roman" w:eastAsia="方正仿宋_GBK" w:cs="宋体"/>
          <w:kern w:val="0"/>
          <w:sz w:val="32"/>
          <w:szCs w:val="32"/>
          <w:lang w:eastAsia="zh-CN"/>
        </w:rPr>
      </w:pPr>
      <w:r>
        <w:rPr>
          <w:rFonts w:hint="eastAsia" w:ascii="Times New Roman" w:hAnsi="Times New Roman" w:eastAsia="方正黑体_GBK" w:cs="方正黑体_GBK"/>
          <w:kern w:val="0"/>
          <w:sz w:val="32"/>
          <w:szCs w:val="32"/>
          <w:lang w:eastAsia="zh-CN"/>
        </w:rPr>
        <w:t>一、关于强化政策与资金保障方面的事项。</w:t>
      </w:r>
      <w:r>
        <w:rPr>
          <w:rFonts w:hint="eastAsia" w:ascii="Times New Roman" w:hAnsi="Times New Roman" w:eastAsia="方正仿宋_GBK" w:cs="宋体"/>
          <w:kern w:val="0"/>
          <w:sz w:val="32"/>
          <w:szCs w:val="32"/>
          <w:lang w:eastAsia="zh-CN"/>
        </w:rPr>
        <w:t>部分采纳解决。</w:t>
      </w:r>
      <w:r>
        <w:rPr>
          <w:rFonts w:hint="eastAsia" w:ascii="Times New Roman" w:hAnsi="Times New Roman" w:eastAsia="方正楷体_GBK" w:cs="方正楷体_GBK"/>
          <w:kern w:val="0"/>
          <w:sz w:val="32"/>
          <w:szCs w:val="32"/>
          <w:lang w:eastAsia="zh-CN"/>
        </w:rPr>
        <w:t>一是纳入专项发展规划内容。</w:t>
      </w:r>
      <w:r>
        <w:rPr>
          <w:rFonts w:hint="eastAsia" w:ascii="Times New Roman" w:hAnsi="Times New Roman" w:eastAsia="方正仿宋_GBK" w:cs="宋体"/>
          <w:kern w:val="0"/>
          <w:sz w:val="32"/>
          <w:szCs w:val="32"/>
          <w:lang w:eastAsia="zh-CN"/>
        </w:rPr>
        <w:t>我市对标对表《全国公共法律服务体系建设规划（2021—2025年）》，已完成武陵山区域各区县公共法律服务中心建设，并将武陵山区域法律服务中心建设纳入全市公共法律服务线上云中心建设规划重点内容，把黔江作为全市公共法律服务线上重要区域节点予以落实。</w:t>
      </w:r>
      <w:r>
        <w:rPr>
          <w:rFonts w:hint="eastAsia" w:ascii="Times New Roman" w:hAnsi="Times New Roman" w:eastAsia="方正楷体_GBK" w:cs="方正楷体_GBK"/>
          <w:kern w:val="0"/>
          <w:sz w:val="32"/>
          <w:szCs w:val="32"/>
          <w:lang w:eastAsia="zh-CN"/>
        </w:rPr>
        <w:t>二是加大财政转移支付力度。</w:t>
      </w:r>
      <w:r>
        <w:rPr>
          <w:rFonts w:hint="eastAsia" w:ascii="Times New Roman" w:hAnsi="Times New Roman" w:eastAsia="方正仿宋_GBK" w:cs="宋体"/>
          <w:kern w:val="0"/>
          <w:sz w:val="32"/>
          <w:szCs w:val="32"/>
          <w:lang w:eastAsia="zh-CN"/>
        </w:rPr>
        <w:t>关于设立市级10亿元以上规模“民族地区法治发展基金”的建议，按照《重庆市人民政府办公厅关于印发重庆市市级预算管理办法等6个办法的通知》（渝府办发</w:t>
      </w:r>
      <w:r>
        <w:rPr>
          <w:rFonts w:hint="eastAsia" w:ascii="Times New Roman" w:hAnsi="Times New Roman" w:eastAsia="方正仿宋_GBK"/>
          <w:sz w:val="32"/>
          <w:szCs w:val="32"/>
          <w:lang w:eastAsia="zh-CN"/>
        </w:rPr>
        <w:t>〔2021〕139</w:t>
      </w:r>
      <w:r>
        <w:rPr>
          <w:rFonts w:hint="eastAsia" w:ascii="Times New Roman" w:hAnsi="Times New Roman" w:eastAsia="方正仿宋_GBK" w:cs="宋体"/>
          <w:kern w:val="0"/>
          <w:sz w:val="32"/>
          <w:szCs w:val="32"/>
          <w:lang w:eastAsia="zh-CN"/>
        </w:rPr>
        <w:t>号）规定，从严控制专项资金的设立，未经市政府常务会议批准，一律不得新设专项（基金），且不得重复设立与现有专项资金使用方向或用途相近的专项资金，因此尚不具备解决条件。但市财政一直按照中央和市委市政府决策部署加大对区县的转移支付力度，仅2025年市对包括武陵山区在内的各区县一般转移支付达1375亿元，由区县统筹上级补助和本级财力用于公共法律服务工作所需经费，且每年投入2.4亿元支持法律援助、人民调解、法治宣传教育、村居法律顾问等公共法律服务体系建设，保障公共法律服务工作顺利开展。</w:t>
      </w:r>
      <w:r>
        <w:rPr>
          <w:rFonts w:hint="eastAsia" w:ascii="Times New Roman" w:hAnsi="Times New Roman" w:eastAsia="方正楷体_GBK" w:cs="方正楷体_GBK"/>
          <w:kern w:val="0"/>
          <w:sz w:val="32"/>
          <w:szCs w:val="32"/>
          <w:lang w:eastAsia="zh-CN"/>
        </w:rPr>
        <w:t>三是创新政府购买服务机制。</w:t>
      </w:r>
      <w:r>
        <w:rPr>
          <w:rFonts w:hint="eastAsia" w:ascii="Times New Roman" w:hAnsi="Times New Roman" w:eastAsia="方正仿宋_GBK" w:cs="宋体"/>
          <w:kern w:val="0"/>
          <w:sz w:val="32"/>
          <w:szCs w:val="32"/>
          <w:lang w:eastAsia="zh-CN"/>
        </w:rPr>
        <w:t>《市级政府购买服务指导性目录》已将公共法律服务包括法律咨询、人民调解、法律援助、法治宣传教育、村居法律顾问等纳入政府购买服务目录，各政府部门可以结合实际情况向社会力量购买法律援助服务。市财政局已就完善政府购买公共法律服务的子目录、标准和评价体系启动新一轮调查研究，进一步提高政府向社会力量购买公共法律服务的财政资金使用效益。</w:t>
      </w:r>
    </w:p>
    <w:p>
      <w:pPr>
        <w:pStyle w:val="5"/>
        <w:keepNext w:val="0"/>
        <w:keepLines w:val="0"/>
        <w:pageBreakBefore w:val="0"/>
        <w:widowControl w:val="0"/>
        <w:kinsoku/>
        <w:wordWrap/>
        <w:overflowPunct/>
        <w:topLinePunct w:val="0"/>
        <w:autoSpaceDE/>
        <w:autoSpaceDN/>
        <w:bidi w:val="0"/>
        <w:adjustRightInd w:val="0"/>
        <w:snapToGrid w:val="0"/>
        <w:spacing w:after="0" w:afterLines="0" w:line="578" w:lineRule="exact"/>
        <w:ind w:left="0" w:leftChars="0" w:right="0" w:rightChars="0" w:firstLine="640" w:firstLineChars="200"/>
        <w:textAlignment w:val="auto"/>
        <w:rPr>
          <w:rFonts w:hint="eastAsia" w:ascii="Times New Roman" w:hAnsi="Times New Roman" w:eastAsia="方正仿宋_GBK" w:cs="宋体"/>
          <w:kern w:val="0"/>
          <w:sz w:val="32"/>
          <w:szCs w:val="32"/>
          <w:lang w:val="en-US" w:eastAsia="zh-CN"/>
        </w:rPr>
      </w:pPr>
      <w:r>
        <w:rPr>
          <w:rFonts w:hint="eastAsia" w:ascii="Times New Roman" w:hAnsi="Times New Roman" w:eastAsia="方正黑体_GBK" w:cs="方正黑体_GBK"/>
          <w:kern w:val="0"/>
          <w:sz w:val="32"/>
          <w:szCs w:val="32"/>
          <w:lang w:eastAsia="zh-CN"/>
        </w:rPr>
        <w:t>二、关于构建多层次服务网络方面的事项。</w:t>
      </w:r>
      <w:r>
        <w:rPr>
          <w:rFonts w:hint="eastAsia" w:ascii="Times New Roman" w:hAnsi="Times New Roman" w:eastAsia="方正仿宋_GBK" w:cs="宋体"/>
          <w:kern w:val="0"/>
          <w:sz w:val="32"/>
          <w:szCs w:val="32"/>
          <w:lang w:eastAsia="zh-CN"/>
        </w:rPr>
        <w:t>已采纳解决。</w:t>
      </w:r>
      <w:r>
        <w:rPr>
          <w:rFonts w:hint="eastAsia" w:ascii="Times New Roman" w:hAnsi="Times New Roman" w:eastAsia="方正楷体_GBK" w:cs="方正楷体_GBK"/>
          <w:kern w:val="0"/>
          <w:sz w:val="32"/>
          <w:szCs w:val="32"/>
          <w:lang w:val="en-US" w:eastAsia="zh-CN" w:bidi="ar-SA"/>
        </w:rPr>
        <w:t>一是打造“中心+分中心+站点+流动”立体网络。</w:t>
      </w:r>
      <w:r>
        <w:rPr>
          <w:rFonts w:hint="eastAsia" w:ascii="Times New Roman" w:hAnsi="Times New Roman" w:eastAsia="方正仿宋_GBK" w:cs="宋体"/>
          <w:kern w:val="0"/>
          <w:sz w:val="32"/>
          <w:szCs w:val="32"/>
          <w:lang w:val="en-US" w:eastAsia="zh-CN" w:bidi="ar-SA"/>
        </w:rPr>
        <w:t>市司法局依托</w:t>
      </w:r>
      <w:r>
        <w:rPr>
          <w:rFonts w:hint="eastAsia" w:ascii="Times New Roman" w:hAnsi="Times New Roman" w:eastAsia="方正仿宋_GBK" w:cs="宋体"/>
          <w:kern w:val="0"/>
          <w:sz w:val="32"/>
          <w:szCs w:val="32"/>
          <w:lang w:eastAsia="zh-CN"/>
        </w:rPr>
        <w:t>公共法律服务线上线下平台建设，以全市公共法律服务线上云中心建设为抓手，推动以黔江为重要区域节点打造武陵山区域法律服务云中心，整合黔江、酉阳、秀山、彭水、石柱等</w:t>
      </w:r>
      <w:r>
        <w:rPr>
          <w:rFonts w:hint="eastAsia" w:ascii="Times New Roman" w:hAnsi="Times New Roman" w:eastAsia="方正仿宋_GBK" w:cs="宋体"/>
          <w:kern w:val="0"/>
          <w:sz w:val="32"/>
          <w:szCs w:val="32"/>
          <w:lang w:val="en-US" w:eastAsia="zh-CN"/>
        </w:rPr>
        <w:t>5个</w:t>
      </w:r>
      <w:r>
        <w:rPr>
          <w:rFonts w:hint="eastAsia" w:ascii="Times New Roman" w:hAnsi="Times New Roman" w:eastAsia="方正仿宋_GBK" w:cs="宋体"/>
          <w:kern w:val="0"/>
          <w:sz w:val="32"/>
          <w:szCs w:val="32"/>
          <w:lang w:eastAsia="zh-CN"/>
        </w:rPr>
        <w:t>区县公共法律服务中心以及乡镇（街道）公共法律服务工作站，构建了“黔江云总部+各区县分中心</w:t>
      </w:r>
      <w:r>
        <w:rPr>
          <w:rFonts w:hint="eastAsia" w:ascii="Times New Roman" w:hAnsi="Times New Roman" w:eastAsia="方正仿宋_GBK" w:cs="宋体"/>
          <w:kern w:val="0"/>
          <w:sz w:val="32"/>
          <w:szCs w:val="32"/>
          <w:lang w:val="en-US" w:eastAsia="zh-CN"/>
        </w:rPr>
        <w:t>+各乡镇（街道）公共法律服务工作站</w:t>
      </w:r>
      <w:r>
        <w:rPr>
          <w:rFonts w:hint="eastAsia" w:ascii="Times New Roman" w:hAnsi="Times New Roman" w:eastAsia="方正仿宋_GBK" w:cs="宋体"/>
          <w:kern w:val="0"/>
          <w:sz w:val="32"/>
          <w:szCs w:val="32"/>
          <w:lang w:eastAsia="zh-CN"/>
        </w:rPr>
        <w:t>”的公共法律服务体系，实现了对武陵山区域法律服务的有效覆盖。</w:t>
      </w:r>
      <w:r>
        <w:rPr>
          <w:rFonts w:hint="eastAsia" w:ascii="Times New Roman" w:hAnsi="Times New Roman" w:eastAsia="方正楷体_GBK" w:cs="方正楷体_GBK"/>
          <w:kern w:val="0"/>
          <w:sz w:val="32"/>
          <w:szCs w:val="32"/>
          <w:lang w:val="en-US" w:eastAsia="zh-CN" w:bidi="ar-SA"/>
        </w:rPr>
        <w:t>二是深化“智慧法务”赋能。</w:t>
      </w:r>
      <w:r>
        <w:rPr>
          <w:rFonts w:hint="eastAsia" w:ascii="Times New Roman" w:hAnsi="Times New Roman" w:eastAsia="方正仿宋_GBK" w:cs="宋体"/>
          <w:kern w:val="0"/>
          <w:sz w:val="32"/>
          <w:szCs w:val="32"/>
          <w:lang w:val="en-US" w:eastAsia="zh-CN"/>
        </w:rPr>
        <w:t>市司法局</w:t>
      </w:r>
      <w:r>
        <w:rPr>
          <w:rFonts w:hint="eastAsia" w:ascii="Times New Roman" w:hAnsi="Times New Roman" w:eastAsia="方正仿宋_GBK" w:cs="宋体"/>
          <w:kern w:val="0"/>
          <w:sz w:val="32"/>
          <w:szCs w:val="32"/>
          <w:lang w:eastAsia="zh-CN"/>
        </w:rPr>
        <w:t>“法治</w:t>
      </w:r>
      <w:r>
        <w:rPr>
          <w:rFonts w:hint="eastAsia" w:ascii="Times New Roman" w:hAnsi="Times New Roman" w:eastAsia="方正仿宋_GBK" w:cs="宋体"/>
          <w:kern w:val="0"/>
          <w:sz w:val="32"/>
          <w:szCs w:val="32"/>
          <w:lang w:val="en-US" w:eastAsia="zh-CN"/>
        </w:rPr>
        <w:t>.法律服务</w:t>
      </w:r>
      <w:r>
        <w:rPr>
          <w:rFonts w:hint="eastAsia" w:ascii="Times New Roman" w:hAnsi="Times New Roman" w:eastAsia="方正仿宋_GBK" w:cs="宋体"/>
          <w:kern w:val="0"/>
          <w:sz w:val="32"/>
          <w:szCs w:val="32"/>
          <w:lang w:eastAsia="zh-CN"/>
        </w:rPr>
        <w:t>”应用已于今年</w:t>
      </w:r>
      <w:r>
        <w:rPr>
          <w:rFonts w:hint="eastAsia" w:ascii="Times New Roman" w:hAnsi="Times New Roman" w:eastAsia="方正仿宋_GBK" w:cs="宋体"/>
          <w:kern w:val="0"/>
          <w:sz w:val="32"/>
          <w:szCs w:val="32"/>
          <w:lang w:val="en-US" w:eastAsia="zh-CN"/>
        </w:rPr>
        <w:t>3月、4月分别上架“渝快办”“渝快政”平台，</w:t>
      </w:r>
      <w:r>
        <w:rPr>
          <w:rFonts w:hint="eastAsia" w:ascii="Times New Roman" w:hAnsi="Times New Roman" w:eastAsia="方正仿宋_GBK" w:cs="宋体"/>
          <w:kern w:val="0"/>
          <w:sz w:val="32"/>
          <w:szCs w:val="32"/>
          <w:lang w:eastAsia="zh-CN"/>
        </w:rPr>
        <w:t>初步归集1179家法律服务机构、2.1万名执业人员基础数据，搭建“线上法律咨询市区联动”“法律援助案件质量在线评估”“远程视频公证”等应用场景，</w:t>
      </w:r>
      <w:r>
        <w:rPr>
          <w:rFonts w:hint="eastAsia" w:ascii="Times New Roman" w:hAnsi="Times New Roman" w:eastAsia="方正仿宋_GBK" w:cs="宋体"/>
          <w:kern w:val="0"/>
          <w:sz w:val="32"/>
          <w:szCs w:val="32"/>
          <w:lang w:val="en-US" w:eastAsia="zh-CN"/>
        </w:rPr>
        <w:t>提供法律咨询、法律援助等高频服务事项的在线申办和进度查询，实现全流程在线办理和电子化归档，已实现对包括武陵山区在内的全域“一网通办”。</w:t>
      </w:r>
      <w:r>
        <w:rPr>
          <w:rFonts w:hint="eastAsia" w:ascii="Times New Roman" w:hAnsi="Times New Roman" w:eastAsia="方正楷体_GBK" w:cs="方正楷体_GBK"/>
          <w:kern w:val="0"/>
          <w:sz w:val="32"/>
          <w:szCs w:val="32"/>
          <w:lang w:val="en-US" w:eastAsia="zh-CN" w:bidi="ar-SA"/>
        </w:rPr>
        <w:t>三是精准开发特色服务产品。</w:t>
      </w:r>
      <w:r>
        <w:rPr>
          <w:rFonts w:hint="eastAsia" w:ascii="Times New Roman" w:hAnsi="Times New Roman" w:eastAsia="方正仿宋_GBK" w:cs="宋体"/>
          <w:kern w:val="0"/>
          <w:sz w:val="32"/>
          <w:szCs w:val="32"/>
          <w:lang w:val="en-US" w:eastAsia="zh-CN"/>
        </w:rPr>
        <w:t>全市司法行政系统通过精准普法机制建设和基层法治观测点建设，在武陵山区域构建了覆盖各区县的法律服务需求动态监测机制，实现了市、区县、乡镇（街道）三级的群众法律服务需求采集、分析研判和分级处置。整合全市各级各部门和社会组织力量资源，围绕土地流转、集体经济、环境权益、民族习惯法衔接等热点，编印手册、微视频、案例集等产品包12大类，并在武陵山区域各区县免费推广。</w:t>
      </w:r>
      <w:bookmarkStart w:id="1" w:name="OLE_LINK1"/>
      <w:r>
        <w:rPr>
          <w:rFonts w:hint="eastAsia" w:ascii="Times New Roman" w:hAnsi="Times New Roman" w:eastAsia="方正仿宋_GBK" w:cs="宋体"/>
          <w:kern w:val="0"/>
          <w:sz w:val="32"/>
          <w:szCs w:val="32"/>
          <w:lang w:val="en-US" w:eastAsia="zh-CN"/>
        </w:rPr>
        <w:t>针对老年人、残疾人、妇女儿童、少数民族群众设立绿色通道和专项服务窗口，仅2025年在武陵山区域各区县累计办理专项案件就达3664件</w:t>
      </w:r>
      <w:bookmarkEnd w:id="1"/>
      <w:r>
        <w:rPr>
          <w:rFonts w:hint="eastAsia" w:ascii="Times New Roman" w:hAnsi="Times New Roman" w:eastAsia="方正仿宋_GBK" w:cs="宋体"/>
          <w:kern w:val="0"/>
          <w:sz w:val="32"/>
          <w:szCs w:val="32"/>
          <w:lang w:val="en-US" w:eastAsia="zh-CN"/>
        </w:rPr>
        <w:t>。</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78" w:lineRule="exact"/>
        <w:ind w:left="0" w:leftChars="0" w:right="0" w:rightChars="0" w:firstLine="640" w:firstLineChars="200"/>
        <w:textAlignment w:val="auto"/>
        <w:rPr>
          <w:rFonts w:hint="eastAsia" w:ascii="Times New Roman" w:hAnsi="Times New Roman" w:eastAsia="方正仿宋_GBK" w:cs="宋体"/>
          <w:kern w:val="0"/>
          <w:sz w:val="32"/>
          <w:szCs w:val="32"/>
          <w:lang w:val="en-US" w:eastAsia="zh-CN"/>
        </w:rPr>
      </w:pPr>
      <w:r>
        <w:rPr>
          <w:rFonts w:hint="eastAsia" w:ascii="Times New Roman" w:hAnsi="Times New Roman" w:eastAsia="方正黑体_GBK" w:cs="方正黑体_GBK"/>
          <w:kern w:val="0"/>
          <w:sz w:val="32"/>
          <w:szCs w:val="32"/>
          <w:lang w:eastAsia="zh-CN"/>
        </w:rPr>
        <w:t>三、关于实施人才“引育留用”工程方面的事项。</w:t>
      </w:r>
      <w:r>
        <w:rPr>
          <w:rFonts w:hint="eastAsia" w:ascii="Times New Roman" w:hAnsi="Times New Roman" w:eastAsia="方正仿宋_GBK" w:cs="宋体"/>
          <w:kern w:val="0"/>
          <w:sz w:val="32"/>
          <w:szCs w:val="32"/>
          <w:lang w:eastAsia="zh-CN"/>
        </w:rPr>
        <w:t>已采纳解决。</w:t>
      </w:r>
      <w:r>
        <w:rPr>
          <w:rFonts w:hint="eastAsia" w:ascii="Times New Roman" w:hAnsi="Times New Roman" w:eastAsia="方正楷体_GBK" w:cs="方正楷体_GBK"/>
          <w:kern w:val="0"/>
          <w:sz w:val="32"/>
          <w:szCs w:val="32"/>
          <w:lang w:val="en-US" w:eastAsia="zh-CN" w:bidi="ar-SA"/>
        </w:rPr>
        <w:t>一</w:t>
      </w:r>
      <w:r>
        <w:rPr>
          <w:rFonts w:hint="eastAsia" w:eastAsia="方正楷体_GBK" w:cs="方正楷体_GBK"/>
          <w:kern w:val="0"/>
          <w:sz w:val="32"/>
          <w:szCs w:val="32"/>
          <w:lang w:val="en-US" w:eastAsia="zh-CN" w:bidi="ar-SA"/>
        </w:rPr>
        <w:t>是</w:t>
      </w:r>
      <w:r>
        <w:rPr>
          <w:rFonts w:hint="eastAsia" w:ascii="Times New Roman" w:hAnsi="Times New Roman" w:eastAsia="方正楷体_GBK" w:cs="方正楷体_GBK"/>
          <w:kern w:val="0"/>
          <w:sz w:val="32"/>
          <w:szCs w:val="32"/>
          <w:lang w:val="en-US" w:eastAsia="zh-CN" w:bidi="ar-SA"/>
        </w:rPr>
        <w:t>加大定向培养与引进力度。</w:t>
      </w:r>
      <w:r>
        <w:rPr>
          <w:rFonts w:hint="eastAsia" w:ascii="Times New Roman" w:hAnsi="Times New Roman" w:eastAsia="方正仿宋_GBK" w:cs="宋体"/>
          <w:kern w:val="0"/>
          <w:sz w:val="32"/>
          <w:szCs w:val="32"/>
          <w:lang w:val="en-US" w:eastAsia="zh-CN"/>
        </w:rPr>
        <w:t>我市将武陵山区域法律人才培养引进纳入了“重庆律师英才培养计划”“涉外法律人才专项培训计划”“公证专才培养计划”“司法鉴定人才培养战略”等重要内容，作为建设西部法律服务高地的重要任务。依托高校资源建立法律实务人才培养基地与环校法律服务创业区，以“双一流”建设为引领加快建设法学特色优势学科，西南政法大学已</w:t>
      </w:r>
      <w:r>
        <w:rPr>
          <w:rFonts w:hint="eastAsia" w:ascii="Times New Roman" w:hAnsi="Times New Roman" w:eastAsia="方正仿宋_GBK" w:cs="宋体"/>
          <w:kern w:val="0"/>
          <w:sz w:val="32"/>
          <w:szCs w:val="32"/>
          <w:lang w:eastAsia="zh-CN"/>
        </w:rPr>
        <w:t>在全国率先开设卓越公共法律服务的</w:t>
      </w:r>
      <w:r>
        <w:rPr>
          <w:rFonts w:hint="eastAsia" w:ascii="Times New Roman" w:hAnsi="Times New Roman" w:eastAsia="方正仿宋_GBK" w:cs="宋体"/>
          <w:kern w:val="0"/>
          <w:sz w:val="32"/>
          <w:szCs w:val="32"/>
          <w:lang w:val="en-US" w:eastAsia="zh-CN"/>
        </w:rPr>
        <w:t>博士专业，并对本地法律人才优先。加大</w:t>
      </w:r>
      <w:r>
        <w:rPr>
          <w:rFonts w:hint="eastAsia" w:ascii="Times New Roman" w:hAnsi="Times New Roman" w:eastAsia="方正仿宋_GBK" w:cs="宋体"/>
          <w:kern w:val="0"/>
          <w:sz w:val="32"/>
          <w:szCs w:val="32"/>
          <w:lang w:eastAsia="zh-CN"/>
        </w:rPr>
        <w:t>民族地区法律人才交流引进，安排10名来渝参加西部锻炼青年律师到彭水等区县开展为期1年的挂职锻炼。加强民族地区检法专业人才培养使用，通过定向招录、挂职锻炼、专项培训等方式，培育批熟悉民族地区社情民意、精通法律业务的骨干力量。</w:t>
      </w:r>
      <w:r>
        <w:rPr>
          <w:rFonts w:hint="eastAsia" w:ascii="Times New Roman" w:hAnsi="Times New Roman" w:eastAsia="方正楷体_GBK" w:cs="方正楷体_GBK"/>
          <w:kern w:val="0"/>
          <w:sz w:val="32"/>
          <w:szCs w:val="32"/>
          <w:lang w:val="en-US" w:eastAsia="zh-CN" w:bidi="ar-SA"/>
        </w:rPr>
        <w:t>二</w:t>
      </w:r>
      <w:r>
        <w:rPr>
          <w:rFonts w:hint="eastAsia" w:eastAsia="方正楷体_GBK" w:cs="方正楷体_GBK"/>
          <w:kern w:val="0"/>
          <w:sz w:val="32"/>
          <w:szCs w:val="32"/>
          <w:lang w:val="en-US" w:eastAsia="zh-CN" w:bidi="ar-SA"/>
        </w:rPr>
        <w:t>是</w:t>
      </w:r>
      <w:r>
        <w:rPr>
          <w:rFonts w:hint="eastAsia" w:ascii="Times New Roman" w:hAnsi="Times New Roman" w:eastAsia="方正楷体_GBK" w:cs="方正楷体_GBK"/>
          <w:kern w:val="0"/>
          <w:sz w:val="32"/>
          <w:szCs w:val="32"/>
          <w:lang w:val="en-US" w:eastAsia="zh-CN" w:bidi="ar-SA"/>
        </w:rPr>
        <w:t>强化在职培训与能力提升。</w:t>
      </w:r>
      <w:r>
        <w:rPr>
          <w:rFonts w:hint="eastAsia" w:ascii="Times New Roman" w:hAnsi="Times New Roman" w:eastAsia="方正仿宋_GBK" w:cs="宋体"/>
          <w:kern w:val="0"/>
          <w:sz w:val="32"/>
          <w:szCs w:val="32"/>
          <w:lang w:val="en-US" w:eastAsia="zh-CN"/>
        </w:rPr>
        <w:t>市司法局整合法律服务行业协会资源，在全市构建起了</w:t>
      </w:r>
      <w:r>
        <w:rPr>
          <w:rFonts w:hint="eastAsia" w:ascii="Times New Roman" w:hAnsi="Times New Roman" w:eastAsia="方正仿宋_GBK" w:cs="宋体"/>
          <w:kern w:val="0"/>
          <w:sz w:val="32"/>
          <w:szCs w:val="32"/>
          <w:lang w:eastAsia="zh-CN"/>
        </w:rPr>
        <w:t>全市统筹、分级落实的培训机制，在全市每年坚持分别组织了公共法律服务、律师、公证、普法、鉴定、法律援助、基层法律服务等系列骨干培训，同时督导落实了武陵山区域各区县对民族地区和基层乡村法律服务工作能力的重点培训，构建系统化法律人才培训体系。已推动将同堂培训、业务研讨、人才共育等事项列入今年检司律三方联席会议会商内容，构建了常态化、实质化的交流平台，为区域法律服务体系提供坚实的人才支撑。</w:t>
      </w:r>
      <w:r>
        <w:rPr>
          <w:rFonts w:hint="eastAsia" w:ascii="Times New Roman" w:hAnsi="Times New Roman" w:eastAsia="方正楷体_GBK" w:cs="方正楷体_GBK"/>
          <w:kern w:val="0"/>
          <w:sz w:val="32"/>
          <w:szCs w:val="32"/>
          <w:lang w:val="en-US" w:eastAsia="zh-CN" w:bidi="ar-SA"/>
        </w:rPr>
        <w:t>三</w:t>
      </w:r>
      <w:r>
        <w:rPr>
          <w:rFonts w:hint="eastAsia" w:eastAsia="方正楷体_GBK" w:cs="方正楷体_GBK"/>
          <w:kern w:val="0"/>
          <w:sz w:val="32"/>
          <w:szCs w:val="32"/>
          <w:lang w:val="en-US" w:eastAsia="zh-CN" w:bidi="ar-SA"/>
        </w:rPr>
        <w:t>是</w:t>
      </w:r>
      <w:r>
        <w:rPr>
          <w:rFonts w:hint="eastAsia" w:ascii="Times New Roman" w:hAnsi="Times New Roman" w:eastAsia="方正楷体_GBK" w:cs="方正楷体_GBK"/>
          <w:kern w:val="0"/>
          <w:sz w:val="32"/>
          <w:szCs w:val="32"/>
          <w:lang w:val="en-US" w:eastAsia="zh-CN" w:bidi="ar-SA"/>
        </w:rPr>
        <w:t>完善评价与激励机制。</w:t>
      </w:r>
      <w:r>
        <w:rPr>
          <w:rFonts w:hint="eastAsia" w:ascii="Times New Roman" w:hAnsi="Times New Roman" w:eastAsia="方正仿宋_GBK" w:cs="宋体"/>
          <w:kern w:val="0"/>
          <w:sz w:val="32"/>
          <w:szCs w:val="32"/>
          <w:lang w:val="en-US" w:eastAsia="zh-CN"/>
        </w:rPr>
        <w:t>全市司法行政系统坚持在各类评优评先等工作中，向长期扎根民族地区、服务成效突出者倾斜，仅2025年以来渝东南武陵山区5个区县中，就推荐获评市级部门以上表彰奖励和先进典型选树个人12名，集体8个，廖昌进、潘珂、龚明君、何小敏、谭克伦、蒋大荣、李绍灯等7人获评历届“重庆市十大法治人物”，占比在全市居于前列。</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78" w:lineRule="exact"/>
        <w:ind w:left="0" w:leftChars="0" w:right="0" w:rightChars="0" w:firstLine="640" w:firstLineChars="200"/>
        <w:textAlignment w:val="auto"/>
        <w:rPr>
          <w:rFonts w:hint="eastAsia" w:ascii="Times New Roman" w:hAnsi="Times New Roman" w:eastAsia="方正仿宋_GBK" w:cs="宋体"/>
          <w:kern w:val="0"/>
          <w:sz w:val="32"/>
          <w:szCs w:val="32"/>
          <w:lang w:eastAsia="zh-CN"/>
        </w:rPr>
      </w:pPr>
      <w:r>
        <w:rPr>
          <w:rFonts w:hint="eastAsia" w:ascii="Times New Roman" w:hAnsi="Times New Roman" w:eastAsia="方正黑体_GBK" w:cs="方正黑体_GBK"/>
          <w:kern w:val="0"/>
          <w:sz w:val="32"/>
          <w:szCs w:val="32"/>
          <w:lang w:eastAsia="zh-CN"/>
        </w:rPr>
        <w:t>四、关于深化区域协同与资源共享方面的事项。</w:t>
      </w:r>
      <w:r>
        <w:rPr>
          <w:rFonts w:hint="eastAsia" w:ascii="Times New Roman" w:hAnsi="Times New Roman" w:eastAsia="方正仿宋_GBK" w:cs="宋体"/>
          <w:kern w:val="0"/>
          <w:sz w:val="32"/>
          <w:szCs w:val="32"/>
          <w:lang w:eastAsia="zh-CN"/>
        </w:rPr>
        <w:t>已采纳解决。一</w:t>
      </w:r>
      <w:r>
        <w:rPr>
          <w:rFonts w:hint="eastAsia" w:eastAsia="方正仿宋_GBK" w:cs="宋体"/>
          <w:kern w:val="0"/>
          <w:sz w:val="32"/>
          <w:szCs w:val="32"/>
          <w:lang w:eastAsia="zh-CN"/>
        </w:rPr>
        <w:t>是</w:t>
      </w:r>
      <w:r>
        <w:rPr>
          <w:rFonts w:hint="eastAsia" w:ascii="Times New Roman" w:hAnsi="Times New Roman" w:eastAsia="方正楷体_GBK" w:cs="方正楷体_GBK"/>
          <w:kern w:val="0"/>
          <w:sz w:val="32"/>
          <w:szCs w:val="32"/>
          <w:lang w:val="en-US" w:eastAsia="zh-CN" w:bidi="ar-SA"/>
        </w:rPr>
        <w:t>推动建立协作机制。</w:t>
      </w:r>
      <w:r>
        <w:rPr>
          <w:rFonts w:hint="eastAsia" w:ascii="Times New Roman" w:hAnsi="Times New Roman" w:eastAsia="方正仿宋_GBK" w:cs="宋体"/>
          <w:kern w:val="0"/>
          <w:sz w:val="32"/>
          <w:szCs w:val="32"/>
          <w:lang w:eastAsia="zh-CN"/>
        </w:rPr>
        <w:t>市司法局一直高度重视法律服务资源的区域协同与资源共享，于2025年在秀山区举办武陵山地区律师行业高质量发展交流会，在渝中区举办“渝中区+11区县法律服务高质量协同发展研讨会”，搭建区域律师行业交流合作的重要平台，构建常态化协作机制，实现从“地区相邻”到“发展协同”的跃升。</w:t>
      </w:r>
      <w:r>
        <w:rPr>
          <w:rFonts w:hint="eastAsia" w:ascii="Times New Roman" w:hAnsi="Times New Roman" w:eastAsia="方正楷体_GBK" w:cs="方正楷体_GBK"/>
          <w:kern w:val="0"/>
          <w:sz w:val="32"/>
          <w:szCs w:val="32"/>
          <w:lang w:val="en-US" w:eastAsia="zh-CN" w:bidi="ar-SA"/>
        </w:rPr>
        <w:t>二</w:t>
      </w:r>
      <w:r>
        <w:rPr>
          <w:rFonts w:hint="eastAsia" w:eastAsia="方正楷体_GBK" w:cs="方正楷体_GBK"/>
          <w:kern w:val="0"/>
          <w:sz w:val="32"/>
          <w:szCs w:val="32"/>
          <w:lang w:val="en-US" w:eastAsia="zh-CN" w:bidi="ar-SA"/>
        </w:rPr>
        <w:t>是</w:t>
      </w:r>
      <w:r>
        <w:rPr>
          <w:rFonts w:hint="eastAsia" w:ascii="Times New Roman" w:hAnsi="Times New Roman" w:eastAsia="方正楷体_GBK" w:cs="方正楷体_GBK"/>
          <w:kern w:val="0"/>
          <w:sz w:val="32"/>
          <w:szCs w:val="32"/>
          <w:lang w:val="en-US" w:eastAsia="zh-CN" w:bidi="ar-SA"/>
        </w:rPr>
        <w:t>推动“主城区+民族区县”结对帮扶。</w:t>
      </w:r>
      <w:r>
        <w:rPr>
          <w:rFonts w:hint="eastAsia" w:ascii="Times New Roman" w:hAnsi="Times New Roman" w:eastAsia="方正仿宋_GBK" w:cs="宋体"/>
          <w:kern w:val="0"/>
          <w:sz w:val="32"/>
          <w:szCs w:val="32"/>
          <w:lang w:val="en-US" w:eastAsia="zh-CN"/>
        </w:rPr>
        <w:t>全市司法行政系统</w:t>
      </w:r>
      <w:r>
        <w:rPr>
          <w:rFonts w:hint="eastAsia" w:ascii="Times New Roman" w:hAnsi="Times New Roman" w:eastAsia="方正仿宋_GBK" w:cs="宋体"/>
          <w:kern w:val="0"/>
          <w:sz w:val="32"/>
          <w:szCs w:val="32"/>
          <w:lang w:eastAsia="zh-CN"/>
        </w:rPr>
        <w:t>持续深化主城法律</w:t>
      </w:r>
      <w:r>
        <w:rPr>
          <w:rFonts w:hint="eastAsia" w:ascii="Times New Roman" w:hAnsi="Times New Roman" w:eastAsia="方正仿宋_GBK" w:cs="宋体"/>
          <w:kern w:val="0"/>
          <w:sz w:val="32"/>
          <w:szCs w:val="32"/>
          <w:lang w:val="en-US" w:eastAsia="zh-CN"/>
        </w:rPr>
        <w:t>服务行业</w:t>
      </w:r>
      <w:r>
        <w:rPr>
          <w:rFonts w:hint="eastAsia" w:ascii="Times New Roman" w:hAnsi="Times New Roman" w:eastAsia="方正仿宋_GBK" w:cs="宋体"/>
          <w:kern w:val="0"/>
          <w:sz w:val="32"/>
          <w:szCs w:val="32"/>
          <w:lang w:eastAsia="zh-CN"/>
        </w:rPr>
        <w:t>与武陵山地区的交流与帮扶，长期坚持指导鼓励主城规模较大律所到远郊区县设立分所，主城优秀律师到区县执业，“两群”地区律所增长15.38%、律师增长2.56%。推动23个区县律工委和主城11家律所开展结对交流，提升片区法律服务质量。开展全市公证行业六大行动，建立主城标杆公证机构与远郊区县公证机构结对帮扶机制，全程指导模式落地、经验分享、人员培训。</w:t>
      </w:r>
      <w:r>
        <w:rPr>
          <w:rFonts w:hint="eastAsia" w:ascii="Times New Roman" w:hAnsi="Times New Roman" w:eastAsia="方正楷体_GBK" w:cs="方正楷体_GBK"/>
          <w:kern w:val="0"/>
          <w:sz w:val="32"/>
          <w:szCs w:val="32"/>
          <w:lang w:val="en-US" w:eastAsia="zh-CN" w:bidi="ar-SA"/>
        </w:rPr>
        <w:t>三</w:t>
      </w:r>
      <w:r>
        <w:rPr>
          <w:rFonts w:hint="eastAsia" w:eastAsia="方正楷体_GBK" w:cs="方正楷体_GBK"/>
          <w:kern w:val="0"/>
          <w:sz w:val="32"/>
          <w:szCs w:val="32"/>
          <w:lang w:val="en-US" w:eastAsia="zh-CN" w:bidi="ar-SA"/>
        </w:rPr>
        <w:t>是</w:t>
      </w:r>
      <w:r>
        <w:rPr>
          <w:rFonts w:hint="eastAsia" w:ascii="Times New Roman" w:hAnsi="Times New Roman" w:eastAsia="方正楷体_GBK" w:cs="方正楷体_GBK"/>
          <w:kern w:val="0"/>
          <w:sz w:val="32"/>
          <w:szCs w:val="32"/>
          <w:lang w:val="en-US" w:eastAsia="zh-CN" w:bidi="ar-SA"/>
        </w:rPr>
        <w:t>加强区域性专业机构建设。</w:t>
      </w:r>
      <w:r>
        <w:rPr>
          <w:rFonts w:hint="eastAsia" w:ascii="Times New Roman" w:hAnsi="Times New Roman" w:eastAsia="方正仿宋_GBK" w:cs="宋体"/>
          <w:kern w:val="0"/>
          <w:sz w:val="32"/>
          <w:szCs w:val="32"/>
          <w:lang w:eastAsia="zh-CN"/>
        </w:rPr>
        <w:t>大力提升渝南仲裁院的规模，对渝南仲裁院进行整体搬迁和装修设计，重庆仲裁委员会不定期对渝南仲裁院办公设备设施进行更新和完善，尤其注重对仲裁数字化建设的指导和支持，确保渝南仲裁院服务民族地区社会稳定和经济发展的能力。渝南仲裁院现有副院长1名、仲裁秘书2名、片区内仲裁员7名，年均办案170件，形成了一支业务精通、素质优良的仲裁队伍，至今没有超审限结案的案件和被人民法院裁定撤销或不予执行的案件，切实维护了渝东南片区的仲裁公信力。</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578" w:lineRule="exact"/>
        <w:ind w:left="0" w:leftChars="0" w:right="0" w:rightChars="0" w:firstLine="640" w:firstLineChars="200"/>
        <w:textAlignment w:val="auto"/>
        <w:rPr>
          <w:rFonts w:hint="eastAsia" w:ascii="Times New Roman" w:hAnsi="Times New Roman" w:eastAsia="方正仿宋_GBK" w:cs="宋体"/>
          <w:kern w:val="0"/>
          <w:sz w:val="32"/>
          <w:szCs w:val="32"/>
          <w:lang w:eastAsia="zh-CN"/>
        </w:rPr>
      </w:pPr>
      <w:r>
        <w:rPr>
          <w:rFonts w:hint="eastAsia" w:ascii="Times New Roman" w:hAnsi="Times New Roman" w:eastAsia="方正黑体_GBK" w:cs="方正黑体_GBK"/>
          <w:kern w:val="0"/>
          <w:sz w:val="32"/>
          <w:szCs w:val="32"/>
          <w:lang w:eastAsia="zh-CN"/>
        </w:rPr>
        <w:t>五、关于加强民族特色法治文化建设方面的事项。</w:t>
      </w:r>
      <w:r>
        <w:rPr>
          <w:rFonts w:hint="eastAsia" w:ascii="Times New Roman" w:hAnsi="Times New Roman" w:eastAsia="方正仿宋_GBK" w:cs="宋体"/>
          <w:kern w:val="0"/>
          <w:sz w:val="32"/>
          <w:szCs w:val="32"/>
          <w:lang w:eastAsia="zh-CN"/>
        </w:rPr>
        <w:t>已采纳解决。</w:t>
      </w:r>
      <w:r>
        <w:rPr>
          <w:rFonts w:hint="eastAsia" w:ascii="Times New Roman" w:hAnsi="Times New Roman" w:eastAsia="方正楷体_GBK" w:cs="方正楷体_GBK"/>
          <w:kern w:val="0"/>
          <w:sz w:val="32"/>
          <w:szCs w:val="32"/>
          <w:lang w:val="en-US" w:eastAsia="zh-CN" w:bidi="ar-SA"/>
        </w:rPr>
        <w:t>一</w:t>
      </w:r>
      <w:r>
        <w:rPr>
          <w:rFonts w:hint="eastAsia" w:eastAsia="方正楷体_GBK" w:cs="方正楷体_GBK"/>
          <w:kern w:val="0"/>
          <w:sz w:val="32"/>
          <w:szCs w:val="32"/>
          <w:lang w:val="en-US" w:eastAsia="zh-CN" w:bidi="ar-SA"/>
        </w:rPr>
        <w:t>是</w:t>
      </w:r>
      <w:r>
        <w:rPr>
          <w:rFonts w:hint="eastAsia" w:ascii="Times New Roman" w:hAnsi="Times New Roman" w:eastAsia="方正楷体_GBK" w:cs="方正楷体_GBK"/>
          <w:kern w:val="0"/>
          <w:sz w:val="32"/>
          <w:szCs w:val="32"/>
          <w:lang w:val="en-US" w:eastAsia="zh-CN" w:bidi="ar-SA"/>
        </w:rPr>
        <w:t>创新民族特色普法文化。</w:t>
      </w:r>
      <w:r>
        <w:rPr>
          <w:rFonts w:hint="eastAsia" w:ascii="Times New Roman" w:hAnsi="Times New Roman" w:eastAsia="方正仿宋_GBK" w:cs="宋体"/>
          <w:kern w:val="0"/>
          <w:sz w:val="32"/>
          <w:szCs w:val="32"/>
          <w:lang w:eastAsia="zh-CN"/>
        </w:rPr>
        <w:t>全市普法工作立足黔江地域特色和经济社会实际，大力推动民族特色法治文化建设。支持指导黔江注册开通首个政务抖音普法账号“法治黔江”，拍摄原创普法短视频121条，累计播放量突破100万次。指导支持黔江区结合土家族苗族地方民族特色，编创南溪号子《普法号》《法治号》、后河古戏《天理良心濯水人》、普法三句半、《快板百科全书民法典》等一批法治文化产品，纳入全区“送文化下乡”节目清单，打造了一批民族地区法治文化品牌节目。</w:t>
      </w:r>
      <w:r>
        <w:rPr>
          <w:rFonts w:hint="eastAsia" w:ascii="Times New Roman" w:hAnsi="Times New Roman" w:eastAsia="方正楷体_GBK" w:cs="方正楷体_GBK"/>
          <w:kern w:val="0"/>
          <w:sz w:val="32"/>
          <w:szCs w:val="32"/>
          <w:lang w:val="en-US" w:eastAsia="zh-CN" w:bidi="ar-SA"/>
        </w:rPr>
        <w:t>二</w:t>
      </w:r>
      <w:r>
        <w:rPr>
          <w:rFonts w:hint="eastAsia" w:eastAsia="方正楷体_GBK" w:cs="方正楷体_GBK"/>
          <w:kern w:val="0"/>
          <w:sz w:val="32"/>
          <w:szCs w:val="32"/>
          <w:lang w:val="en-US" w:eastAsia="zh-CN" w:bidi="ar-SA"/>
        </w:rPr>
        <w:t>是</w:t>
      </w:r>
      <w:r>
        <w:rPr>
          <w:rFonts w:hint="eastAsia" w:ascii="Times New Roman" w:hAnsi="Times New Roman" w:eastAsia="方正楷体_GBK" w:cs="方正楷体_GBK"/>
          <w:kern w:val="0"/>
          <w:sz w:val="32"/>
          <w:szCs w:val="32"/>
          <w:lang w:val="en-US" w:eastAsia="zh-CN" w:bidi="ar-SA"/>
        </w:rPr>
        <w:t>深化基层普法依法治理。</w:t>
      </w:r>
      <w:r>
        <w:rPr>
          <w:rFonts w:hint="eastAsia" w:ascii="Times New Roman" w:hAnsi="Times New Roman" w:eastAsia="方正仿宋_GBK" w:cs="宋体"/>
          <w:kern w:val="0"/>
          <w:sz w:val="32"/>
          <w:szCs w:val="32"/>
          <w:lang w:val="en-US" w:eastAsia="zh-CN"/>
        </w:rPr>
        <w:t>指导黔江建成符合标准的法治院落107个，培育“法律明白人”1149名、农村“学法用法示范户”910户，全区220个村（社区）覆盖率100%，黔江区国家级示范创建命名比例位居渝东南首位、全市前列。</w:t>
      </w:r>
      <w:r>
        <w:rPr>
          <w:rFonts w:hint="eastAsia" w:ascii="Times New Roman" w:hAnsi="Times New Roman" w:eastAsia="方正楷体_GBK" w:cs="方正楷体_GBK"/>
          <w:kern w:val="0"/>
          <w:sz w:val="32"/>
          <w:szCs w:val="32"/>
          <w:lang w:val="en-US" w:eastAsia="zh-CN" w:bidi="ar-SA"/>
        </w:rPr>
        <w:t>三</w:t>
      </w:r>
      <w:r>
        <w:rPr>
          <w:rFonts w:hint="eastAsia" w:eastAsia="方正楷体_GBK" w:cs="方正楷体_GBK"/>
          <w:kern w:val="0"/>
          <w:sz w:val="32"/>
          <w:szCs w:val="32"/>
          <w:lang w:val="en-US" w:eastAsia="zh-CN" w:bidi="ar-SA"/>
        </w:rPr>
        <w:t>是</w:t>
      </w:r>
      <w:r>
        <w:rPr>
          <w:rFonts w:hint="eastAsia" w:ascii="Times New Roman" w:hAnsi="Times New Roman" w:eastAsia="方正楷体_GBK" w:cs="方正楷体_GBK"/>
          <w:kern w:val="0"/>
          <w:sz w:val="32"/>
          <w:szCs w:val="32"/>
          <w:lang w:val="en-US" w:eastAsia="zh-CN" w:bidi="ar-SA"/>
        </w:rPr>
        <w:t>打造法治文化地标。</w:t>
      </w:r>
      <w:r>
        <w:rPr>
          <w:rFonts w:hint="eastAsia" w:ascii="Times New Roman" w:hAnsi="Times New Roman" w:eastAsia="方正仿宋_GBK" w:cs="宋体"/>
          <w:kern w:val="0"/>
          <w:sz w:val="32"/>
          <w:szCs w:val="32"/>
          <w:lang w:eastAsia="zh-CN"/>
        </w:rPr>
        <w:t>市司法局拨付专项资金100万元支持黔江区习近平法治思想主题公园建设，将濯水古建筑、万涛故居纳入《重庆市法治文化地图》首批名单，累计带动各方投入资金200余万元改造基层法治阵地，先后建成以太极镇新陆村欧家寨为代表的系列法治大院，以杉岭乡法治一条街为代表的数条法治街道（长廊），并在石会镇中元村少数民族聚居区建设富有民族特色的法治广场，打造了展现民族区域法治文化风貌、彰显区域治理现代化、凝聚民族共治共识的阵地体系。</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right="0" w:rightChars="0" w:firstLine="640" w:firstLineChars="200"/>
        <w:jc w:val="both"/>
        <w:textAlignment w:val="auto"/>
        <w:outlineLvl w:val="9"/>
        <w:rPr>
          <w:rFonts w:hint="eastAsia" w:ascii="Times New Roman" w:hAnsi="Times New Roman" w:eastAsia="方正仿宋_GBK" w:cs="宋体"/>
          <w:kern w:val="0"/>
          <w:sz w:val="32"/>
          <w:szCs w:val="32"/>
          <w:lang w:eastAsia="zh-CN"/>
        </w:rPr>
      </w:pPr>
      <w:r>
        <w:rPr>
          <w:rFonts w:hint="eastAsia" w:ascii="Times New Roman" w:hAnsi="Times New Roman" w:eastAsia="方正仿宋_GBK" w:cs="宋体"/>
          <w:kern w:val="0"/>
          <w:sz w:val="32"/>
          <w:szCs w:val="32"/>
          <w:lang w:eastAsia="zh-CN"/>
        </w:rPr>
        <w:t>此答复函已经我局种及灵局长审签。对以上答复您有什么意见，请及时通过人大代表全渝通应用代表议案建议场景进行评价。</w:t>
      </w:r>
    </w:p>
    <w:p>
      <w:pPr>
        <w:keepNext w:val="0"/>
        <w:keepLines w:val="0"/>
        <w:pageBreakBefore w:val="0"/>
        <w:widowControl w:val="0"/>
        <w:kinsoku/>
        <w:wordWrap/>
        <w:overflowPunct/>
        <w:topLinePunct w:val="0"/>
        <w:autoSpaceDE/>
        <w:autoSpaceDN/>
        <w:bidi w:val="0"/>
        <w:adjustRightInd w:val="0"/>
        <w:snapToGrid w:val="0"/>
        <w:spacing w:line="578" w:lineRule="exact"/>
        <w:ind w:left="0" w:leftChars="0" w:right="0" w:rightChars="0" w:firstLine="640" w:firstLineChars="200"/>
        <w:jc w:val="both"/>
        <w:textAlignment w:val="auto"/>
        <w:outlineLvl w:val="9"/>
        <w:rPr>
          <w:rFonts w:hint="eastAsia" w:ascii="Times New Roman" w:hAnsi="Times New Roman" w:eastAsia="方正仿宋_GBK" w:cs="宋体"/>
          <w:kern w:val="0"/>
          <w:sz w:val="32"/>
          <w:szCs w:val="32"/>
          <w:lang w:eastAsia="zh-CN"/>
        </w:rPr>
      </w:pPr>
    </w:p>
    <w:p>
      <w:pPr>
        <w:pStyle w:val="5"/>
        <w:keepNext w:val="0"/>
        <w:keepLines w:val="0"/>
        <w:pageBreakBefore w:val="0"/>
        <w:widowControl w:val="0"/>
        <w:kinsoku/>
        <w:wordWrap/>
        <w:overflowPunct/>
        <w:topLinePunct w:val="0"/>
        <w:autoSpaceDE/>
        <w:autoSpaceDN/>
        <w:bidi w:val="0"/>
        <w:adjustRightInd w:val="0"/>
        <w:snapToGrid w:val="0"/>
        <w:spacing w:after="120" w:afterLines="0" w:line="40" w:lineRule="exact"/>
        <w:ind w:left="0" w:leftChars="0" w:right="0" w:rightChars="0" w:firstLine="0" w:firstLineChars="0"/>
        <w:jc w:val="both"/>
        <w:textAlignment w:val="auto"/>
        <w:outlineLvl w:val="9"/>
        <w:rPr>
          <w:rFonts w:hint="eastAsia" w:ascii="Times New Roman" w:hAnsi="Times New Roman" w:eastAsia="方正仿宋_GBK" w:cs="宋体"/>
          <w:kern w:val="0"/>
          <w:sz w:val="32"/>
          <w:szCs w:val="32"/>
          <w:lang w:eastAsia="zh-CN"/>
        </w:rPr>
      </w:pPr>
      <w:bookmarkStart w:id="2" w:name="_GoBack"/>
      <w:bookmarkEnd w:id="2"/>
    </w:p>
    <w:sectPr>
      <w:footerReference r:id="rId3" w:type="default"/>
      <w:footerReference r:id="rId4" w:type="even"/>
      <w:pgSz w:w="11906" w:h="16838"/>
      <w:pgMar w:top="2098" w:right="1474" w:bottom="1984" w:left="1587" w:header="851" w:footer="1417" w:gutter="0"/>
      <w:cols w:space="0" w:num="1"/>
      <w:titlePg/>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ordWrap w:val="0"/>
      <w:snapToGrid w:val="0"/>
      <w:jc w:val="right"/>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BK&#10;283/EgIAABMEAAAOAAAAAAAAAAEAIAAAADUBAABkcnMvZTJvRG9jLnhtbFBLBQYAAAAABgAGAFkB&#10;AAC5BQAAAAA=&#10;">
              <v:fill on="f" focussize="0,0"/>
              <v:stroke on="f" weight="0.5pt"/>
              <v:imagedata o:title=""/>
              <o:lock v:ext="edit" aspectratio="f"/>
              <v:textbox inset="0mm,0mm,0mm,0mm" style="mso-fit-shape-to-text:t;">
                <w:txbxContent>
                  <w:p>
                    <w:pPr>
                      <w:rPr>
                        <w:rFonts w:hint="eastAsia"/>
                        <w:lang w:eastAsia="zh-CN"/>
                      </w:rPr>
                    </w:pPr>
                  </w:p>
                </w:txbxContent>
              </v:textbox>
            </v:shape>
          </w:pict>
        </mc:Fallback>
      </mc:AlternateContent>
    </w:r>
    <w:r>
      <w:rPr>
        <w:rFonts w:hint="eastAsia" w:asciiTheme="majorEastAsia" w:hAnsiTheme="majorEastAsia" w:eastAsiaTheme="majorEastAsia" w:cstheme="majorEastAsia"/>
        <w:sz w:val="28"/>
        <w:szCs w:val="28"/>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ind w:firstLine="280" w:firstLineChars="100"/>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val="en-US" w:eastAsia="zh-CN"/>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evenAndOddHeaders w:val="1"/>
  <w:drawingGridVerticalSpacing w:val="164"/>
  <w:displayHorizontalDrawingGridEvery w:val="1"/>
  <w:displayVerticalDrawingGridEvery w:val="2"/>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826606"/>
    <w:rsid w:val="04FE0305"/>
    <w:rsid w:val="065D778B"/>
    <w:rsid w:val="06816C6B"/>
    <w:rsid w:val="071164F1"/>
    <w:rsid w:val="08CB00AC"/>
    <w:rsid w:val="0B501466"/>
    <w:rsid w:val="0C2A7EEE"/>
    <w:rsid w:val="0C897F92"/>
    <w:rsid w:val="0D3938FA"/>
    <w:rsid w:val="0D961BA3"/>
    <w:rsid w:val="11F956D9"/>
    <w:rsid w:val="126804B3"/>
    <w:rsid w:val="134E51BA"/>
    <w:rsid w:val="16F706AE"/>
    <w:rsid w:val="18E81D1D"/>
    <w:rsid w:val="1E5C60C6"/>
    <w:rsid w:val="239F7FAE"/>
    <w:rsid w:val="249515C0"/>
    <w:rsid w:val="25065AE1"/>
    <w:rsid w:val="26F81B1D"/>
    <w:rsid w:val="27C014F8"/>
    <w:rsid w:val="2947480A"/>
    <w:rsid w:val="29B973F2"/>
    <w:rsid w:val="2A3425E4"/>
    <w:rsid w:val="2A83719C"/>
    <w:rsid w:val="309B31CF"/>
    <w:rsid w:val="313B03E9"/>
    <w:rsid w:val="31623C8E"/>
    <w:rsid w:val="31E80C6F"/>
    <w:rsid w:val="327F2E2E"/>
    <w:rsid w:val="334D6912"/>
    <w:rsid w:val="34371200"/>
    <w:rsid w:val="353A68A2"/>
    <w:rsid w:val="36B248BF"/>
    <w:rsid w:val="389E1BAD"/>
    <w:rsid w:val="392A57A0"/>
    <w:rsid w:val="398B5FE5"/>
    <w:rsid w:val="3AB44844"/>
    <w:rsid w:val="3B4455C9"/>
    <w:rsid w:val="3BB2256B"/>
    <w:rsid w:val="3CB46CD3"/>
    <w:rsid w:val="3EFE0923"/>
    <w:rsid w:val="3F4C5E79"/>
    <w:rsid w:val="40DB3111"/>
    <w:rsid w:val="42A04940"/>
    <w:rsid w:val="42EE6FF4"/>
    <w:rsid w:val="445555E2"/>
    <w:rsid w:val="44AF56D1"/>
    <w:rsid w:val="45826606"/>
    <w:rsid w:val="492836DD"/>
    <w:rsid w:val="49376EEA"/>
    <w:rsid w:val="49424F95"/>
    <w:rsid w:val="4A0217DB"/>
    <w:rsid w:val="4CE21520"/>
    <w:rsid w:val="4DCA1C24"/>
    <w:rsid w:val="4F657DFA"/>
    <w:rsid w:val="50D602FB"/>
    <w:rsid w:val="538B0EDE"/>
    <w:rsid w:val="57796D9C"/>
    <w:rsid w:val="579949CB"/>
    <w:rsid w:val="5A4D6E7E"/>
    <w:rsid w:val="5AFE7AB9"/>
    <w:rsid w:val="5B38035C"/>
    <w:rsid w:val="5D092579"/>
    <w:rsid w:val="5FC02367"/>
    <w:rsid w:val="60B45D99"/>
    <w:rsid w:val="60D014F2"/>
    <w:rsid w:val="61887FF5"/>
    <w:rsid w:val="676F3826"/>
    <w:rsid w:val="67FF0586"/>
    <w:rsid w:val="69494E0C"/>
    <w:rsid w:val="698D2468"/>
    <w:rsid w:val="6C2A56A6"/>
    <w:rsid w:val="6EE276FB"/>
    <w:rsid w:val="6FA82869"/>
    <w:rsid w:val="71630AF3"/>
    <w:rsid w:val="721B18AA"/>
    <w:rsid w:val="74F23B24"/>
    <w:rsid w:val="754F7400"/>
    <w:rsid w:val="76112F41"/>
    <w:rsid w:val="7DFA4ED2"/>
    <w:rsid w:val="7EFF082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line="600" w:lineRule="exact"/>
      <w:ind w:firstLine="880" w:firstLineChars="200"/>
      <w:jc w:val="left"/>
      <w:outlineLvl w:val="0"/>
    </w:pPr>
    <w:rPr>
      <w:rFonts w:ascii="Times New Roman" w:hAnsi="Times New Roman" w:eastAsia="方正黑体_GBK"/>
      <w:bCs/>
      <w:kern w:val="44"/>
      <w:sz w:val="32"/>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Times New Roman" w:hAnsi="Times New Roman" w:eastAsia="宋体" w:cs="Times New Roman"/>
    </w:rPr>
  </w:style>
  <w:style w:type="paragraph" w:styleId="4">
    <w:name w:val="footer"/>
    <w:basedOn w:val="1"/>
    <w:qFormat/>
    <w:uiPriority w:val="0"/>
    <w:pPr>
      <w:tabs>
        <w:tab w:val="center" w:pos="4153"/>
        <w:tab w:val="right" w:pos="8306"/>
      </w:tabs>
      <w:snapToGrid w:val="0"/>
      <w:jc w:val="left"/>
    </w:pPr>
    <w:rPr>
      <w:rFonts w:ascii="Times New Roman" w:hAnsi="Times New Roman"/>
      <w:sz w:val="18"/>
      <w:szCs w:val="18"/>
    </w:rPr>
  </w:style>
  <w:style w:type="paragraph" w:styleId="5">
    <w:name w:val="Body Text First Indent"/>
    <w:basedOn w:val="2"/>
    <w:qFormat/>
    <w:uiPriority w:val="0"/>
    <w:pPr>
      <w:widowControl w:val="0"/>
      <w:spacing w:afterLines="0" w:afterAutospacing="0"/>
      <w:ind w:firstLine="420" w:firstLineChars="10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2026-05-09T10:57:00Z</dcterms:created>
  <dc:creator>Administrator</dc:creator>
  <cp:lastModifiedBy>sfj</cp:lastModifiedBy>
  <cp:lastPrinted>2026-05-22T11:44:00Z</cp:lastPrinted>
  <dcterms:modified xsi:type="dcterms:W3CDTF">2026-07-28T15:07:52Z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ies>
</file>