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6" w:lineRule="exact"/>
        <w:ind w:left="0" w:leftChars="0" w:right="0" w:rightChars="0"/>
        <w:jc w:val="center"/>
        <w:textAlignment w:val="auto"/>
        <w:outlineLvl w:val="9"/>
        <w:rPr>
          <w:rFonts w:hint="eastAsia" w:ascii="Times New Roman" w:hAnsi="Times New Roman" w:eastAsia="方正小标宋_GBK" w:cs="宋体"/>
          <w:kern w:val="0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_GBK" w:cs="宋体"/>
          <w:kern w:val="0"/>
          <w:sz w:val="44"/>
          <w:szCs w:val="44"/>
          <w:lang w:eastAsia="zh-CN"/>
        </w:rPr>
        <w:t>重庆市司法局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6" w:lineRule="exact"/>
        <w:ind w:left="0" w:leftChars="0" w:right="0" w:rightChars="0"/>
        <w:jc w:val="center"/>
        <w:textAlignment w:val="auto"/>
        <w:outlineLvl w:val="9"/>
        <w:rPr>
          <w:rFonts w:hint="eastAsia" w:ascii="Times New Roman" w:hAnsi="Times New Roman" w:eastAsia="方正小标宋_GBK" w:cs="宋体"/>
          <w:kern w:val="0"/>
          <w:sz w:val="44"/>
          <w:szCs w:val="44"/>
        </w:rPr>
      </w:pPr>
      <w:r>
        <w:rPr>
          <w:rFonts w:hint="eastAsia" w:ascii="Times New Roman" w:hAnsi="Times New Roman" w:eastAsia="方正小标宋_GBK" w:cs="宋体"/>
          <w:kern w:val="0"/>
          <w:sz w:val="44"/>
          <w:szCs w:val="44"/>
        </w:rPr>
        <w:t>关于市</w:t>
      </w:r>
      <w:r>
        <w:rPr>
          <w:rFonts w:hint="eastAsia" w:ascii="Times New Roman" w:hAnsi="Times New Roman" w:eastAsia="方正小标宋_GBK" w:cs="宋体"/>
          <w:kern w:val="0"/>
          <w:sz w:val="44"/>
          <w:szCs w:val="44"/>
          <w:lang w:eastAsia="zh-CN"/>
        </w:rPr>
        <w:t>六</w:t>
      </w:r>
      <w:r>
        <w:rPr>
          <w:rFonts w:hint="eastAsia" w:ascii="Times New Roman" w:hAnsi="Times New Roman" w:eastAsia="方正小标宋_GBK" w:cs="宋体"/>
          <w:kern w:val="0"/>
          <w:sz w:val="44"/>
          <w:szCs w:val="44"/>
        </w:rPr>
        <w:t>届人大</w:t>
      </w:r>
      <w:r>
        <w:rPr>
          <w:rFonts w:hint="eastAsia" w:ascii="Times New Roman" w:hAnsi="Times New Roman" w:eastAsia="方正小标宋_GBK" w:cs="宋体"/>
          <w:kern w:val="0"/>
          <w:sz w:val="44"/>
          <w:szCs w:val="44"/>
          <w:lang w:eastAsia="zh-CN"/>
        </w:rPr>
        <w:t>四</w:t>
      </w:r>
      <w:r>
        <w:rPr>
          <w:rFonts w:hint="eastAsia" w:ascii="Times New Roman" w:hAnsi="Times New Roman" w:eastAsia="方正小标宋_GBK" w:cs="宋体"/>
          <w:kern w:val="0"/>
          <w:sz w:val="44"/>
          <w:szCs w:val="44"/>
        </w:rPr>
        <w:t>次会议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6" w:lineRule="exact"/>
        <w:ind w:left="0" w:leftChars="0" w:right="0" w:rightChars="0"/>
        <w:jc w:val="center"/>
        <w:textAlignment w:val="auto"/>
        <w:outlineLvl w:val="9"/>
        <w:rPr>
          <w:rFonts w:ascii="Times New Roman" w:hAnsi="Times New Roman" w:eastAsia="方正小标宋_GBK" w:cs="宋体"/>
          <w:kern w:val="0"/>
          <w:sz w:val="44"/>
          <w:szCs w:val="44"/>
        </w:rPr>
      </w:pPr>
      <w:r>
        <w:rPr>
          <w:rFonts w:hint="eastAsia" w:ascii="Times New Roman" w:hAnsi="Times New Roman" w:eastAsia="方正小标宋_GBK" w:cs="宋体"/>
          <w:kern w:val="0"/>
          <w:sz w:val="44"/>
          <w:szCs w:val="44"/>
        </w:rPr>
        <w:t>第</w:t>
      </w:r>
      <w:r>
        <w:rPr>
          <w:rFonts w:hint="default" w:ascii="Times New Roman" w:hAnsi="Times New Roman" w:eastAsia="方正小标宋_GBK" w:cs="Times New Roman"/>
          <w:kern w:val="0"/>
          <w:sz w:val="44"/>
          <w:szCs w:val="44"/>
        </w:rPr>
        <w:t>0314</w:t>
      </w:r>
      <w:r>
        <w:rPr>
          <w:rFonts w:hint="eastAsia" w:ascii="Times New Roman" w:hAnsi="Times New Roman" w:eastAsia="方正小标宋_GBK" w:cs="宋体"/>
          <w:kern w:val="0"/>
          <w:sz w:val="44"/>
          <w:szCs w:val="44"/>
        </w:rPr>
        <w:t>号</w:t>
      </w:r>
      <w:r>
        <w:rPr>
          <w:rFonts w:hint="eastAsia" w:ascii="Times New Roman" w:hAnsi="Times New Roman" w:eastAsia="方正小标宋_GBK" w:cs="宋体"/>
          <w:kern w:val="0"/>
          <w:sz w:val="44"/>
          <w:szCs w:val="44"/>
          <w:lang w:eastAsia="zh-CN"/>
        </w:rPr>
        <w:t>代表</w:t>
      </w:r>
      <w:r>
        <w:rPr>
          <w:rFonts w:hint="eastAsia" w:ascii="Times New Roman" w:hAnsi="Times New Roman" w:eastAsia="方正小标宋_GBK" w:cs="宋体"/>
          <w:kern w:val="0"/>
          <w:sz w:val="44"/>
          <w:szCs w:val="44"/>
        </w:rPr>
        <w:t>建议办理情况的答复函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6" w:lineRule="exact"/>
        <w:ind w:left="0" w:leftChars="0" w:right="0" w:rightChars="0"/>
        <w:jc w:val="left"/>
        <w:textAlignment w:val="auto"/>
        <w:outlineLvl w:val="9"/>
        <w:rPr>
          <w:rFonts w:ascii="Times New Roman" w:hAnsi="Times New Roman" w:eastAsia="方正仿宋_GBK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6" w:lineRule="exact"/>
        <w:ind w:left="0" w:leftChars="0" w:right="0" w:rightChars="0"/>
        <w:jc w:val="left"/>
        <w:textAlignment w:val="auto"/>
        <w:outlineLvl w:val="9"/>
        <w:rPr>
          <w:rFonts w:ascii="Times New Roman" w:hAnsi="Times New Roman" w:eastAsia="方正仿宋_GBK" w:cs="宋体"/>
          <w:kern w:val="0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lang w:eastAsia="zh-CN"/>
        </w:rPr>
        <w:t>吴润林</w:t>
      </w:r>
      <w:r>
        <w:rPr>
          <w:rFonts w:hint="eastAsia" w:ascii="Times New Roman" w:hAnsi="Times New Roman" w:eastAsia="方正仿宋_GBK" w:cs="宋体"/>
          <w:kern w:val="0"/>
          <w:sz w:val="32"/>
          <w:szCs w:val="32"/>
        </w:rPr>
        <w:t>代表：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6" w:lineRule="exact"/>
        <w:ind w:left="0" w:leftChars="0" w:right="0" w:rightChars="0" w:firstLine="648"/>
        <w:jc w:val="left"/>
        <w:textAlignment w:val="auto"/>
        <w:outlineLvl w:val="9"/>
        <w:rPr>
          <w:rFonts w:hint="eastAsia" w:ascii="Times New Roman" w:hAnsi="Times New Roman" w:eastAsia="方正仿宋_GBK" w:cs="宋体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宋体"/>
          <w:kern w:val="0"/>
          <w:sz w:val="32"/>
          <w:szCs w:val="32"/>
          <w:lang w:eastAsia="zh-CN"/>
        </w:rPr>
        <w:t>您</w:t>
      </w:r>
      <w:r>
        <w:rPr>
          <w:rFonts w:hint="eastAsia" w:ascii="Times New Roman" w:hAnsi="Times New Roman" w:eastAsia="方正仿宋_GBK" w:cs="宋体"/>
          <w:kern w:val="0"/>
          <w:sz w:val="32"/>
          <w:szCs w:val="32"/>
        </w:rPr>
        <w:t>提出的《关于优化和完善监狱与人民法院在线庭审体系的建议》（第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0314</w:t>
      </w:r>
      <w:r>
        <w:rPr>
          <w:rFonts w:hint="eastAsia" w:ascii="Times New Roman" w:hAnsi="Times New Roman" w:eastAsia="方正仿宋_GBK" w:cs="宋体"/>
          <w:kern w:val="0"/>
          <w:sz w:val="32"/>
          <w:szCs w:val="32"/>
        </w:rPr>
        <w:t>号）收悉。经与</w:t>
      </w:r>
      <w:r>
        <w:rPr>
          <w:rFonts w:hint="eastAsia" w:ascii="Times New Roman" w:hAnsi="Times New Roman" w:eastAsia="方正仿宋_GBK" w:cs="宋体"/>
          <w:kern w:val="0"/>
          <w:sz w:val="32"/>
          <w:szCs w:val="32"/>
          <w:lang w:eastAsia="zh-CN"/>
        </w:rPr>
        <w:t>重庆市高级人民法院</w:t>
      </w:r>
      <w:r>
        <w:rPr>
          <w:rFonts w:hint="eastAsia" w:ascii="Times New Roman" w:hAnsi="Times New Roman" w:eastAsia="方正仿宋_GBK" w:cs="宋体"/>
          <w:kern w:val="0"/>
          <w:sz w:val="32"/>
          <w:szCs w:val="32"/>
        </w:rPr>
        <w:t>共同研究办理，优化和完善监狱与人民法院在线庭审体系</w:t>
      </w:r>
      <w:r>
        <w:rPr>
          <w:rFonts w:hint="eastAsia" w:ascii="Times New Roman" w:hAnsi="Times New Roman" w:eastAsia="方正仿宋_GBK" w:cs="宋体"/>
          <w:kern w:val="0"/>
          <w:sz w:val="32"/>
          <w:szCs w:val="32"/>
          <w:lang w:eastAsia="zh-CN"/>
        </w:rPr>
        <w:t>的相关建议已经采纳</w:t>
      </w:r>
      <w:r>
        <w:rPr>
          <w:rFonts w:hint="eastAsia" w:ascii="Times New Roman" w:hAnsi="Times New Roman" w:eastAsia="方正仿宋_GBK" w:cs="宋体"/>
          <w:kern w:val="0"/>
          <w:sz w:val="32"/>
          <w:szCs w:val="32"/>
        </w:rPr>
        <w:t>。</w:t>
      </w:r>
      <w:r>
        <w:rPr>
          <w:rFonts w:hint="eastAsia" w:ascii="Times New Roman" w:hAnsi="Times New Roman" w:eastAsia="方正仿宋_GBK" w:cs="宋体"/>
          <w:kern w:val="0"/>
          <w:sz w:val="32"/>
          <w:szCs w:val="32"/>
          <w:lang w:eastAsia="zh-CN"/>
        </w:rPr>
        <w:t>现将办理情况答复如下：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6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方正黑体_GBK" w:cs="方正黑体_GBK"/>
          <w:b w:val="0"/>
          <w:bCs w:val="0"/>
          <w:sz w:val="32"/>
          <w:lang w:eastAsia="zh-CN"/>
        </w:rPr>
      </w:pPr>
      <w:r>
        <w:rPr>
          <w:rFonts w:hint="eastAsia" w:ascii="Times New Roman" w:hAnsi="Times New Roman" w:eastAsia="方正黑体_GBK" w:cs="方正黑体_GBK"/>
          <w:b w:val="0"/>
          <w:bCs w:val="0"/>
          <w:sz w:val="32"/>
          <w:lang w:eastAsia="zh-CN"/>
        </w:rPr>
        <w:t>一、关于“</w:t>
      </w:r>
      <w:r>
        <w:rPr>
          <w:rFonts w:hint="eastAsia" w:ascii="Times New Roman" w:hAnsi="Times New Roman" w:eastAsia="方正黑体_GBK" w:cs="方正黑体_GBK"/>
          <w:b w:val="0"/>
          <w:bCs w:val="0"/>
          <w:sz w:val="32"/>
        </w:rPr>
        <w:t>健全监狱与人民法院之间在线庭审运行机制</w:t>
      </w:r>
      <w:r>
        <w:rPr>
          <w:rFonts w:hint="eastAsia" w:ascii="Times New Roman" w:hAnsi="Times New Roman" w:eastAsia="方正黑体_GBK" w:cs="方正黑体_GBK"/>
          <w:b w:val="0"/>
          <w:bCs w:val="0"/>
          <w:sz w:val="32"/>
          <w:lang w:eastAsia="zh-CN"/>
        </w:rPr>
        <w:t>”事项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Autospacing="0" w:afterAutospacing="0" w:line="566" w:lineRule="exact"/>
        <w:ind w:left="0" w:leftChars="0" w:right="0" w:rightChars="0" w:firstLine="64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lang w:val="en-US" w:eastAsia="zh-CN"/>
        </w:rPr>
      </w:pPr>
      <w:r>
        <w:rPr>
          <w:rFonts w:hint="eastAsia" w:ascii="Times New Roman" w:hAnsi="Times New Roman" w:eastAsia="方正仿宋_GBK"/>
          <w:sz w:val="32"/>
          <w:lang w:val="en-US" w:eastAsia="zh-CN"/>
        </w:rPr>
        <w:t>根据最高人民法院、最高人民检察院、司法部《关于共同开展减刑假释信息化办案平台建设的通知》</w:t>
      </w:r>
      <w:r>
        <w:rPr>
          <w:rFonts w:hint="default" w:ascii="Times New Roman" w:hAnsi="Times New Roman" w:eastAsia="方正仿宋_GBK" w:cs="Times New Roman"/>
          <w:sz w:val="32"/>
          <w:lang w:val="en-US" w:eastAsia="zh-CN"/>
        </w:rPr>
        <w:t>（法〔2017〕149号）要求，监狱与法院在线庭审（远程科技法庭）由重庆市高级人民法院统筹指导并提供信息技术支撑，各中级人民法院投资建设，监狱提供场地和相关办公设备。为了规范和保障监狱与法院之间在线庭审工作，重庆市高级人民法院于2017年印发《重庆市高级人民法院减刑假释远程庭审系统技术方案》，2020年印发《关于规范在线庭审活动的工作规则（试行）》，2022年指导各中级人民法院实现了监狱科技法庭（远程出庭室）与全市法院云上共享法庭互联互通。监狱与法院在线庭审（远程科技法庭）于2017年</w:t>
      </w:r>
      <w:r>
        <w:rPr>
          <w:rFonts w:hint="default" w:ascii="Times New Roman" w:hAnsi="Times New Roman" w:eastAsia="方正仿宋_GBK" w:cs="Times New Roman"/>
          <w:color w:val="auto"/>
          <w:sz w:val="32"/>
          <w:lang w:val="en-US" w:eastAsia="zh-CN"/>
        </w:rPr>
        <w:t>至2022年</w:t>
      </w:r>
      <w:r>
        <w:rPr>
          <w:rFonts w:hint="default" w:ascii="Times New Roman" w:hAnsi="Times New Roman" w:eastAsia="方正仿宋_GBK" w:cs="Times New Roman"/>
          <w:sz w:val="32"/>
          <w:lang w:val="en-US" w:eastAsia="zh-CN"/>
        </w:rPr>
        <w:t>先后建成并在全市16所监狱投入使用，重庆市监狱管理局于2022年印发《关于进一步加强监狱减刑假释庭审保障工作的通知》，对全市监狱做好在线庭审保障工作提出了要求。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Autospacing="0" w:afterAutospacing="0" w:line="578" w:lineRule="exact"/>
        <w:ind w:left="0" w:leftChars="0" w:right="0" w:rightChars="0" w:firstLine="640"/>
        <w:jc w:val="both"/>
        <w:textAlignment w:val="auto"/>
        <w:outlineLvl w:val="9"/>
        <w:rPr>
          <w:rFonts w:hint="eastAsia" w:ascii="Times New Roman" w:hAnsi="Times New Roman" w:eastAsia="方正仿宋_GBK"/>
          <w:sz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lang w:val="en-US" w:eastAsia="zh-CN"/>
        </w:rPr>
        <w:t>监狱科技法庭自投入使用以来，主要用于减刑、假释案件以及涉服刑人员相关案件的远程审理，监狱协同法院进行人员组织、场所管控、设备维护等保障性工作，法官在法院科技法庭即可开展庭审，无需进入监管区，提升了审判效率、降低了安全风险、节约了司法资源，特别是疫情期间发挥了重要作用，2025年全市法院通过监狱科技法庭审理案件近3000件次，整体运行规范有序。但是，在运行中，发现科技法庭也存在一些差距和不足，比如，在技术与硬件方面，由于各中级人民法院的建设时间不一致、标准不统一，设备的兼容性差，造成设备故障率较高，庭审卡顿、延迟、音画不同步，影响庭审效率；证据展示受限，物证、书证、视听资料平面化展示等，无法辨认细节、核验原件，影响质证效果。在管理与协同方面，跨部门协同成本高，法院、监狱等部门需要反复对接时间、设备、流程；跨区域远程庭审缺乏统一标准与协作机制，当前主要用于各中级人民法院审理减刑、假释案件，暂未开发用于民事案件；庭审笔录与签字流程繁琐，远程笔录确认和电子签名规范不一，影响效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578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/>
          <w:sz w:val="32"/>
          <w:lang w:val="en-US" w:eastAsia="zh-CN"/>
        </w:rPr>
      </w:pPr>
      <w:r>
        <w:rPr>
          <w:rFonts w:hint="eastAsia" w:ascii="Times New Roman" w:hAnsi="Times New Roman" w:eastAsia="方正仿宋_GBK"/>
          <w:sz w:val="32"/>
          <w:lang w:val="en-US" w:eastAsia="zh-CN"/>
        </w:rPr>
        <w:t>根据您的建议，目前重庆市高级人民法院正牵头协同重庆市监狱管理局</w:t>
      </w:r>
      <w:r>
        <w:rPr>
          <w:rFonts w:hint="eastAsia" w:ascii="Times New Roman" w:hAnsi="Times New Roman" w:eastAsia="方正仿宋_GBK"/>
          <w:sz w:val="32"/>
          <w:lang w:eastAsia="zh-CN"/>
        </w:rPr>
        <w:t>研讨编制监狱</w:t>
      </w:r>
      <w:r>
        <w:rPr>
          <w:rFonts w:ascii="Times New Roman" w:hAnsi="Times New Roman" w:eastAsia="方正仿宋_GBK"/>
          <w:sz w:val="32"/>
        </w:rPr>
        <w:t>在线</w:t>
      </w:r>
      <w:r>
        <w:rPr>
          <w:rFonts w:hint="eastAsia" w:ascii="Times New Roman" w:hAnsi="Times New Roman" w:eastAsia="方正仿宋_GBK"/>
          <w:sz w:val="32"/>
          <w:lang w:eastAsia="zh-CN"/>
        </w:rPr>
        <w:t>远程</w:t>
      </w:r>
      <w:r>
        <w:rPr>
          <w:rFonts w:ascii="Times New Roman" w:hAnsi="Times New Roman" w:eastAsia="方正仿宋_GBK"/>
          <w:sz w:val="32"/>
        </w:rPr>
        <w:t>庭审</w:t>
      </w:r>
      <w:r>
        <w:rPr>
          <w:rFonts w:hint="eastAsia" w:ascii="Times New Roman" w:hAnsi="Times New Roman" w:eastAsia="方正仿宋_GBK"/>
          <w:sz w:val="32"/>
          <w:lang w:eastAsia="zh-CN"/>
        </w:rPr>
        <w:t>运行和保障规范，建立民事案件远程庭审机制，</w:t>
      </w:r>
      <w:r>
        <w:rPr>
          <w:rFonts w:ascii="Times New Roman" w:hAnsi="Times New Roman" w:eastAsia="方正仿宋_GBK"/>
          <w:sz w:val="32"/>
        </w:rPr>
        <w:t>明确适用范围与条件，</w:t>
      </w:r>
      <w:r>
        <w:rPr>
          <w:rFonts w:hint="eastAsia" w:ascii="Times New Roman" w:hAnsi="Times New Roman" w:eastAsia="方正仿宋_GBK"/>
          <w:sz w:val="32"/>
          <w:lang w:eastAsia="zh-CN"/>
        </w:rPr>
        <w:t>规范</w:t>
      </w:r>
      <w:r>
        <w:rPr>
          <w:rFonts w:ascii="Times New Roman" w:hAnsi="Times New Roman" w:eastAsia="方正仿宋_GBK"/>
          <w:sz w:val="32"/>
        </w:rPr>
        <w:t>法院、监狱的职责范围</w:t>
      </w:r>
      <w:r>
        <w:rPr>
          <w:rFonts w:hint="eastAsia" w:ascii="Times New Roman" w:hAnsi="Times New Roman" w:eastAsia="方正仿宋_GBK"/>
          <w:sz w:val="32"/>
          <w:lang w:eastAsia="zh-CN"/>
        </w:rPr>
        <w:t>，</w:t>
      </w:r>
      <w:r>
        <w:rPr>
          <w:rFonts w:ascii="Times New Roman" w:hAnsi="Times New Roman" w:eastAsia="方正仿宋_GBK"/>
          <w:sz w:val="32"/>
        </w:rPr>
        <w:t>规范在线庭审流程</w:t>
      </w:r>
      <w:r>
        <w:rPr>
          <w:rFonts w:hint="eastAsia" w:ascii="Times New Roman" w:hAnsi="Times New Roman" w:eastAsia="方正仿宋_GBK"/>
          <w:sz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Autospacing="0" w:afterAutospacing="0" w:line="578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方正黑体_GBK" w:cs="方正黑体_GBK"/>
          <w:sz w:val="32"/>
          <w:lang w:eastAsia="zh-CN"/>
        </w:rPr>
      </w:pPr>
      <w:r>
        <w:rPr>
          <w:rFonts w:hint="eastAsia" w:ascii="Times New Roman" w:hAnsi="Times New Roman" w:eastAsia="方正黑体_GBK" w:cs="方正黑体_GBK"/>
          <w:sz w:val="32"/>
          <w:lang w:eastAsia="zh-CN"/>
        </w:rPr>
        <w:t>二、关于“科学搭建</w:t>
      </w:r>
      <w:r>
        <w:rPr>
          <w:rFonts w:hint="eastAsia" w:ascii="Times New Roman" w:hAnsi="Times New Roman" w:eastAsia="方正黑体_GBK" w:cs="方正黑体_GBK"/>
          <w:sz w:val="32"/>
        </w:rPr>
        <w:t>监狱与人民法院之间在线庭审平台</w:t>
      </w:r>
      <w:r>
        <w:rPr>
          <w:rFonts w:hint="eastAsia" w:ascii="Times New Roman" w:hAnsi="Times New Roman" w:eastAsia="方正黑体_GBK" w:cs="方正黑体_GBK"/>
          <w:sz w:val="32"/>
          <w:lang w:eastAsia="zh-CN"/>
        </w:rPr>
        <w:t>”事项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Autospacing="0" w:afterAutospacing="0" w:line="578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方正仿宋_GBK"/>
          <w:sz w:val="32"/>
          <w:lang w:val="en-US" w:eastAsia="zh-CN"/>
        </w:rPr>
      </w:pPr>
      <w:r>
        <w:rPr>
          <w:rFonts w:hint="eastAsia" w:ascii="Times New Roman" w:hAnsi="Times New Roman" w:eastAsia="方正仿宋_GBK"/>
          <w:sz w:val="32"/>
          <w:lang w:val="en-US" w:eastAsia="zh-CN"/>
        </w:rPr>
        <w:t>目前，重庆监狱科技法庭配备了庭审相关设施设备，包括音频系统（话筒、音频处理器、功放、音响）、视频系统（摄像头、庭审主机、视频会议终端、质证展示设备）、电源时序器、机柜、交换机、打印机，以及法官席、检察官席、证人席、被告席等庭审设施，通过法院专网实现网络连接，采用云上共享法庭与远程视频会议两种模式接入庭审活动。全面启用在线庭审、证据交换、电子签名等功能，实现庭审全程线上化、无纸化，庭审音视频实时传输、同步存证，符合司法程序要求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Autospacing="0" w:afterAutospacing="0" w:line="578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方正仿宋_GBK"/>
          <w:sz w:val="32"/>
          <w:lang w:eastAsia="zh-CN"/>
        </w:rPr>
      </w:pPr>
      <w:r>
        <w:rPr>
          <w:rFonts w:hint="eastAsia" w:ascii="Times New Roman" w:hAnsi="Times New Roman" w:eastAsia="方正仿宋_GBK"/>
          <w:sz w:val="32"/>
          <w:lang w:val="en-US" w:eastAsia="zh-CN"/>
        </w:rPr>
        <w:t>根据您的建议，目前重庆市高级人民法院将</w:t>
      </w:r>
      <w:r>
        <w:rPr>
          <w:rFonts w:hint="eastAsia" w:ascii="Times New Roman" w:hAnsi="Times New Roman" w:eastAsia="方正仿宋_GBK"/>
          <w:sz w:val="32"/>
          <w:lang w:eastAsia="zh-CN"/>
        </w:rPr>
        <w:t>打通各监狱科技法庭与基层法院“云上共享法庭”之间的信息通道，在全国法院“一张网”中配置监狱法庭，支持民事案件远程排期使用，实现民事、刑事案件“一庭多用”。统一监狱科技法庭设备标准，并完成升级改造，从硬件上保障和支撑远程在线庭审稳定运行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Autospacing="0" w:afterAutospacing="0" w:line="578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黑体_GBK" w:cs="方正黑体_GBK"/>
          <w:sz w:val="32"/>
          <w:lang w:val="en-US" w:eastAsia="zh-CN"/>
        </w:rPr>
      </w:pPr>
      <w:r>
        <w:rPr>
          <w:rFonts w:hint="eastAsia" w:ascii="Times New Roman" w:hAnsi="Times New Roman" w:eastAsia="方正黑体_GBK" w:cs="方正黑体_GBK"/>
          <w:sz w:val="32"/>
          <w:lang w:val="en-US" w:eastAsia="zh-CN"/>
        </w:rPr>
        <w:t>三、关于“推动各方人员熟练应用”事项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578" w:lineRule="exact"/>
        <w:ind w:left="0" w:leftChars="0" w:right="0" w:rightChars="0" w:firstLine="630"/>
        <w:jc w:val="both"/>
        <w:textAlignment w:val="auto"/>
        <w:outlineLvl w:val="9"/>
        <w:rPr>
          <w:rFonts w:ascii="Times New Roman" w:hAnsi="Times New Roman"/>
          <w:sz w:val="32"/>
        </w:rPr>
      </w:pPr>
      <w:r>
        <w:rPr>
          <w:rFonts w:hint="eastAsia" w:ascii="Times New Roman" w:hAnsi="Times New Roman" w:eastAsia="方正仿宋_GBK"/>
          <w:sz w:val="32"/>
          <w:lang w:val="en-US" w:eastAsia="zh-CN"/>
        </w:rPr>
        <w:t>根据您的建议，目前重庆市高级人民法院正牵头协同重庆市监狱管理局</w:t>
      </w:r>
      <w:r>
        <w:rPr>
          <w:rFonts w:hint="eastAsia" w:ascii="Times New Roman" w:hAnsi="Times New Roman" w:eastAsia="方正仿宋_GBK"/>
          <w:sz w:val="32"/>
          <w:lang w:eastAsia="zh-CN"/>
        </w:rPr>
        <w:t>建立联络员工作群，实现资源信息共享，保障跨部门快速协同，实现短时间联络各方启动远程庭审；</w:t>
      </w:r>
      <w:r>
        <w:rPr>
          <w:rFonts w:ascii="Times New Roman" w:hAnsi="Times New Roman" w:eastAsia="方正仿宋_GBK"/>
          <w:sz w:val="32"/>
        </w:rPr>
        <w:t>通过发布操作手册、制作教学视频</w:t>
      </w:r>
      <w:r>
        <w:rPr>
          <w:rFonts w:hint="eastAsia" w:ascii="Times New Roman" w:hAnsi="Times New Roman" w:eastAsia="方正仿宋_GBK"/>
          <w:sz w:val="32"/>
          <w:lang w:eastAsia="zh-CN"/>
        </w:rPr>
        <w:t>、组织司法工作人员观摩远程在线庭审过程</w:t>
      </w:r>
      <w:r>
        <w:rPr>
          <w:rFonts w:ascii="Times New Roman" w:hAnsi="Times New Roman" w:eastAsia="方正仿宋_GBK"/>
          <w:sz w:val="32"/>
        </w:rPr>
        <w:t>等方式，为各方人员提供持续的技术支持和业务指导，推动在线庭审系统熟练普及应用</w:t>
      </w:r>
      <w:r>
        <w:rPr>
          <w:rFonts w:hint="eastAsia" w:ascii="Times New Roman" w:hAnsi="Times New Roman" w:eastAsia="方正仿宋_GBK"/>
          <w:sz w:val="32"/>
          <w:lang w:eastAsia="zh-CN"/>
        </w:rPr>
        <w:t>，保障远程庭审及时、高效、顺利进行。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ind w:left="0" w:leftChars="0" w:right="0" w:rightChars="0" w:firstLine="645"/>
        <w:jc w:val="left"/>
        <w:textAlignment w:val="auto"/>
        <w:outlineLvl w:val="9"/>
        <w:rPr>
          <w:rFonts w:hint="default"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此答复函已经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/>
        </w:rPr>
        <w:t>重庆市司法局局长种及灵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审签。对以上答复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eastAsia="zh-CN"/>
        </w:rPr>
        <w:t>您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有什么意见，请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eastAsia="zh-CN"/>
        </w:rPr>
        <w:t>及时通过人大代表全渝通应用代表议案建议场景进行评价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ind w:left="0" w:leftChars="0" w:right="0" w:rightChars="0" w:firstLine="645"/>
        <w:jc w:val="left"/>
        <w:textAlignment w:val="auto"/>
        <w:outlineLvl w:val="9"/>
        <w:rPr>
          <w:rFonts w:ascii="Times New Roman" w:hAnsi="Times New Roman" w:eastAsia="方正仿宋_GBK" w:cs="宋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exact"/>
        <w:ind w:left="0" w:leftChars="0" w:right="0" w:rightChars="0" w:firstLine="0" w:firstLineChars="0"/>
        <w:jc w:val="both"/>
        <w:textAlignment w:val="auto"/>
        <w:outlineLvl w:val="9"/>
        <w:rPr>
          <w:rFonts w:ascii="Times New Roman" w:hAnsi="Times New Roman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98" w:right="1474" w:bottom="1984" w:left="1587" w:header="851" w:footer="1417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T Extra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0" w:leftChars="0" w:right="252" w:rightChars="120" w:firstLine="0" w:firstLineChars="0"/>
                            <w:jc w:val="left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BYAAABkcnMvUEsBAhQAFAAAAAgAh07iQM6pebnPAAAABQEAAA8AAAAAAAAAAQAgAAAA&#10;OAAAAGRycy9kb3ducmV2LnhtbFBLAQIUABQAAAAIAIdO4kAtNn0sxQEAAGsDAAAOAAAAAAAAAAEA&#10;IAAAADQBAABkcnMvZTJvRG9jLnhtbFBLBQYAAAAABgAGAFkBAABr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0" w:leftChars="0" w:right="252" w:rightChars="120" w:firstLine="0" w:firstLineChars="0"/>
                      <w:jc w:val="left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spacing w:line="240" w:lineRule="auto"/>
      <w:ind w:left="0" w:leftChars="0" w:right="252" w:rightChars="120" w:firstLine="280" w:firstLineChars="100"/>
      <w:jc w:val="left"/>
      <w:textAlignment w:val="auto"/>
      <w:outlineLvl w:val="9"/>
    </w:pPr>
    <w:r>
      <w:rPr>
        <w:rFonts w:hint="eastAsia" w:ascii="宋体" w:hAnsi="宋体" w:eastAsia="宋体" w:cs="宋体"/>
        <w:sz w:val="28"/>
        <w:szCs w:val="28"/>
      </w:rPr>
      <w:t xml:space="preserve">— </w:t>
    </w:r>
    <w:r>
      <w:rPr>
        <w:rFonts w:hint="eastAsia" w:ascii="宋体" w:hAnsi="宋体" w:eastAsia="宋体" w:cs="宋体"/>
        <w:sz w:val="28"/>
        <w:szCs w:val="28"/>
      </w:rPr>
      <w:fldChar w:fldCharType="begin"/>
    </w:r>
    <w:r>
      <w:rPr>
        <w:rFonts w:hint="eastAsia" w:ascii="宋体" w:hAnsi="宋体" w:eastAsia="宋体" w:cs="宋体"/>
        <w:sz w:val="28"/>
        <w:szCs w:val="28"/>
      </w:rPr>
      <w:instrText xml:space="preserve"> PAGE  \* MERGEFORMAT </w:instrText>
    </w:r>
    <w:r>
      <w:rPr>
        <w:rFonts w:hint="eastAsia" w:ascii="宋体" w:hAnsi="宋体" w:eastAsia="宋体" w:cs="宋体"/>
        <w:sz w:val="28"/>
        <w:szCs w:val="28"/>
      </w:rPr>
      <w:fldChar w:fldCharType="separate"/>
    </w:r>
    <w:r>
      <w:rPr>
        <w:rFonts w:hint="eastAsia" w:ascii="宋体" w:hAnsi="宋体" w:eastAsia="宋体" w:cs="宋体"/>
        <w:sz w:val="28"/>
        <w:szCs w:val="28"/>
      </w:rPr>
      <w:t>1</w:t>
    </w:r>
    <w:r>
      <w:rPr>
        <w:rFonts w:hint="eastAsia" w:ascii="宋体" w:hAnsi="宋体" w:eastAsia="宋体" w:cs="宋体"/>
        <w:sz w:val="28"/>
        <w:szCs w:val="28"/>
      </w:rPr>
      <w:fldChar w:fldCharType="end"/>
    </w:r>
    <w:r>
      <w:rPr>
        <w:rFonts w:hint="eastAsia" w:ascii="宋体" w:hAnsi="宋体" w:eastAsia="宋体" w:cs="宋体"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evenAndOddHeaders w:val="1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7F5520E"/>
    <w:rsid w:val="02FDF30C"/>
    <w:rsid w:val="0BFF5A88"/>
    <w:rsid w:val="0F6F7334"/>
    <w:rsid w:val="0FFC8FDC"/>
    <w:rsid w:val="118E0E96"/>
    <w:rsid w:val="14EB8AA0"/>
    <w:rsid w:val="1A5A0FB9"/>
    <w:rsid w:val="1EBBA9C2"/>
    <w:rsid w:val="1FFD077F"/>
    <w:rsid w:val="28797A55"/>
    <w:rsid w:val="29362158"/>
    <w:rsid w:val="2A3CB3CE"/>
    <w:rsid w:val="2BEF3B95"/>
    <w:rsid w:val="2C3E2EFE"/>
    <w:rsid w:val="2CF15631"/>
    <w:rsid w:val="2D7EF269"/>
    <w:rsid w:val="2EF48430"/>
    <w:rsid w:val="31D7C11E"/>
    <w:rsid w:val="31F306CA"/>
    <w:rsid w:val="32FFE578"/>
    <w:rsid w:val="3B4D584B"/>
    <w:rsid w:val="3BE07ABC"/>
    <w:rsid w:val="3BFF6C66"/>
    <w:rsid w:val="3CD349AD"/>
    <w:rsid w:val="3D7BB267"/>
    <w:rsid w:val="3DEED894"/>
    <w:rsid w:val="3EEB243C"/>
    <w:rsid w:val="3EFF123B"/>
    <w:rsid w:val="3FF67243"/>
    <w:rsid w:val="3FF7D3E2"/>
    <w:rsid w:val="43DB8AD1"/>
    <w:rsid w:val="46635168"/>
    <w:rsid w:val="47F9DB2E"/>
    <w:rsid w:val="4ED31AD5"/>
    <w:rsid w:val="4FB8A1CF"/>
    <w:rsid w:val="537F2898"/>
    <w:rsid w:val="5437E33A"/>
    <w:rsid w:val="5672558A"/>
    <w:rsid w:val="56DD27A1"/>
    <w:rsid w:val="56FFB75F"/>
    <w:rsid w:val="57DBD76A"/>
    <w:rsid w:val="57FF20A0"/>
    <w:rsid w:val="57FF623E"/>
    <w:rsid w:val="59FF0553"/>
    <w:rsid w:val="5C1FA2F4"/>
    <w:rsid w:val="5C784237"/>
    <w:rsid w:val="5CAE667D"/>
    <w:rsid w:val="5E9FCCE6"/>
    <w:rsid w:val="5F3F0B10"/>
    <w:rsid w:val="5F7F1D07"/>
    <w:rsid w:val="5F7FF195"/>
    <w:rsid w:val="5FED71B4"/>
    <w:rsid w:val="61DEB63F"/>
    <w:rsid w:val="67F9B0B2"/>
    <w:rsid w:val="6B7CD9C3"/>
    <w:rsid w:val="6BCB6A45"/>
    <w:rsid w:val="6BF58430"/>
    <w:rsid w:val="6EEE58B5"/>
    <w:rsid w:val="6EFF714F"/>
    <w:rsid w:val="6EFFE016"/>
    <w:rsid w:val="6FAE3D9F"/>
    <w:rsid w:val="6FDF9124"/>
    <w:rsid w:val="6FDF9BEB"/>
    <w:rsid w:val="6FFEBFF3"/>
    <w:rsid w:val="74395BE6"/>
    <w:rsid w:val="756C8DF5"/>
    <w:rsid w:val="75759D6A"/>
    <w:rsid w:val="757FDAB4"/>
    <w:rsid w:val="75C15DE4"/>
    <w:rsid w:val="77BFB99E"/>
    <w:rsid w:val="77F4AC2D"/>
    <w:rsid w:val="77F7F143"/>
    <w:rsid w:val="7ABEB668"/>
    <w:rsid w:val="7B7FAF68"/>
    <w:rsid w:val="7D87CB37"/>
    <w:rsid w:val="7DAD40A9"/>
    <w:rsid w:val="7DEC726B"/>
    <w:rsid w:val="7DFF5A0A"/>
    <w:rsid w:val="7E5EBC74"/>
    <w:rsid w:val="7E643B8B"/>
    <w:rsid w:val="7EC155B8"/>
    <w:rsid w:val="7ECF1CE8"/>
    <w:rsid w:val="7EFB75D8"/>
    <w:rsid w:val="7EFF7D22"/>
    <w:rsid w:val="7F6D8F24"/>
    <w:rsid w:val="7FBE2FB4"/>
    <w:rsid w:val="7FDD9236"/>
    <w:rsid w:val="7FED2438"/>
    <w:rsid w:val="7FF3E9DC"/>
    <w:rsid w:val="7FF5887F"/>
    <w:rsid w:val="7FFCAC27"/>
    <w:rsid w:val="7FFF2BDF"/>
    <w:rsid w:val="8EAFBF8D"/>
    <w:rsid w:val="8FFEAFD2"/>
    <w:rsid w:val="973F7AF9"/>
    <w:rsid w:val="9BFFA7EE"/>
    <w:rsid w:val="9CF7282E"/>
    <w:rsid w:val="9D3E543E"/>
    <w:rsid w:val="9D7DB2EB"/>
    <w:rsid w:val="9F6B4EF6"/>
    <w:rsid w:val="9FAC4D87"/>
    <w:rsid w:val="9FF67F6C"/>
    <w:rsid w:val="9FFD7ABC"/>
    <w:rsid w:val="A67E5AC6"/>
    <w:rsid w:val="A7A5BB7F"/>
    <w:rsid w:val="A7FA20CD"/>
    <w:rsid w:val="A7FA6921"/>
    <w:rsid w:val="AFFFBA98"/>
    <w:rsid w:val="B47B9E23"/>
    <w:rsid w:val="B74E6900"/>
    <w:rsid w:val="B7FD6CD8"/>
    <w:rsid w:val="BA7B23C6"/>
    <w:rsid w:val="BBE6C6E0"/>
    <w:rsid w:val="BCCA173E"/>
    <w:rsid w:val="BCF78327"/>
    <w:rsid w:val="BEE9C93F"/>
    <w:rsid w:val="BFBE4E03"/>
    <w:rsid w:val="BFF31148"/>
    <w:rsid w:val="C5E744FB"/>
    <w:rsid w:val="C77EA063"/>
    <w:rsid w:val="CA5A9AD6"/>
    <w:rsid w:val="CD5F66D2"/>
    <w:rsid w:val="CF9F95E1"/>
    <w:rsid w:val="CFFB86DE"/>
    <w:rsid w:val="D3EFE964"/>
    <w:rsid w:val="D57E348F"/>
    <w:rsid w:val="D77D5A01"/>
    <w:rsid w:val="D95A0BE5"/>
    <w:rsid w:val="DAFD9D99"/>
    <w:rsid w:val="DBF7F5E2"/>
    <w:rsid w:val="DCDFD1E9"/>
    <w:rsid w:val="DEF35098"/>
    <w:rsid w:val="DEFE25F6"/>
    <w:rsid w:val="DEFF29D0"/>
    <w:rsid w:val="DF252DA9"/>
    <w:rsid w:val="DFEDF32A"/>
    <w:rsid w:val="DFFDBA98"/>
    <w:rsid w:val="DFFE22CF"/>
    <w:rsid w:val="E23F8014"/>
    <w:rsid w:val="E5391E74"/>
    <w:rsid w:val="E5FFE030"/>
    <w:rsid w:val="E77F5A03"/>
    <w:rsid w:val="E7D674EB"/>
    <w:rsid w:val="E7DBDD5F"/>
    <w:rsid w:val="EDFD536B"/>
    <w:rsid w:val="EE6B1577"/>
    <w:rsid w:val="EEF5A3E8"/>
    <w:rsid w:val="EF7F4AB5"/>
    <w:rsid w:val="EFFA5870"/>
    <w:rsid w:val="EFFEC087"/>
    <w:rsid w:val="F4F565AC"/>
    <w:rsid w:val="F5B7935B"/>
    <w:rsid w:val="F6F73FDD"/>
    <w:rsid w:val="F775E5CE"/>
    <w:rsid w:val="F7764FF3"/>
    <w:rsid w:val="F7F5520E"/>
    <w:rsid w:val="F7FB8A84"/>
    <w:rsid w:val="F7FB9F64"/>
    <w:rsid w:val="F7FFC6ED"/>
    <w:rsid w:val="F9B7745A"/>
    <w:rsid w:val="FB7E026A"/>
    <w:rsid w:val="FB7F93C5"/>
    <w:rsid w:val="FBDFE081"/>
    <w:rsid w:val="FBFE287C"/>
    <w:rsid w:val="FBFEE270"/>
    <w:rsid w:val="FD1FA466"/>
    <w:rsid w:val="FDCF9776"/>
    <w:rsid w:val="FDFE151C"/>
    <w:rsid w:val="FDFF4469"/>
    <w:rsid w:val="FE49B54A"/>
    <w:rsid w:val="FE59A45E"/>
    <w:rsid w:val="FE734873"/>
    <w:rsid w:val="FEDA1FD7"/>
    <w:rsid w:val="FEF8BF03"/>
    <w:rsid w:val="FFB837F3"/>
    <w:rsid w:val="FFBE0E79"/>
    <w:rsid w:val="FFCED0BE"/>
    <w:rsid w:val="FFE79A69"/>
    <w:rsid w:val="FFEEACAF"/>
    <w:rsid w:val="FFEF3F27"/>
    <w:rsid w:val="FFF71545"/>
    <w:rsid w:val="FFFD62AE"/>
    <w:rsid w:val="FFFEFFE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rFonts w:ascii="Times New Roman" w:hAnsi="Times New Roman" w:eastAsia="宋体" w:cs="Times New Roma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Body Text First Indent"/>
    <w:basedOn w:val="2"/>
    <w:qFormat/>
    <w:uiPriority w:val="0"/>
    <w:pPr>
      <w:widowControl w:val="0"/>
      <w:spacing w:afterLines="0" w:afterAutospacing="0"/>
      <w:ind w:firstLine="420" w:firstLineChars="1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20</TotalTime>
  <ScaleCrop>false</ScaleCrop>
  <LinksUpToDate>false</LinksUpToDate>
  <CharactersWithSpaces>0</CharactersWithSpaces>
  <Application>WPS Office_11.8.2.10624_F1E327BC-269C-435d-A152-05C5408002CA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2026-03-30T02:01:00Z</dcterms:created>
  <dc:creator>uos</dc:creator>
  <cp:lastModifiedBy>sfj</cp:lastModifiedBy>
  <cp:lastPrinted>2026-05-07T09:41:00Z</cp:lastPrinted>
  <dcterms:modified xsi:type="dcterms:W3CDTF">2026-07-28T15:10:29Z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2052-11.8.2.10624</vt:lpwstr>
  </property>
</Properties>
</file>